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4D0C" w14:textId="77777777" w:rsidR="00F9667E" w:rsidRDefault="00F9667E" w:rsidP="00F9667E">
      <w:pPr>
        <w:jc w:val="center"/>
      </w:pPr>
    </w:p>
    <w:p w14:paraId="7F31E759" w14:textId="77777777" w:rsidR="00F9667E" w:rsidRDefault="00F9667E" w:rsidP="00F9667E">
      <w:pPr>
        <w:jc w:val="center"/>
      </w:pPr>
    </w:p>
    <w:p w14:paraId="6C216BA7" w14:textId="77777777" w:rsidR="00F9667E" w:rsidRDefault="00F9667E" w:rsidP="00F9667E">
      <w:pPr>
        <w:jc w:val="center"/>
      </w:pPr>
    </w:p>
    <w:p w14:paraId="7F364658" w14:textId="77777777" w:rsidR="00F9667E" w:rsidRDefault="00F9667E" w:rsidP="00F9667E">
      <w:pPr>
        <w:jc w:val="center"/>
      </w:pPr>
    </w:p>
    <w:p w14:paraId="60952302" w14:textId="60166EA7" w:rsidR="00F9667E" w:rsidRDefault="00F9667E" w:rsidP="00F9667E">
      <w:pPr>
        <w:jc w:val="center"/>
      </w:pPr>
      <w:r>
        <w:rPr>
          <w:noProof/>
        </w:rPr>
        <w:drawing>
          <wp:inline distT="0" distB="0" distL="0" distR="0" wp14:anchorId="076E18A7" wp14:editId="1604B8B2">
            <wp:extent cx="50673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p w14:paraId="720F17BB" w14:textId="77777777" w:rsidR="00F9667E" w:rsidRDefault="00F9667E"/>
    <w:p w14:paraId="672D9603" w14:textId="77777777" w:rsidR="00F9667E" w:rsidRDefault="00F9667E"/>
    <w:p w14:paraId="72E9EC47" w14:textId="38849881" w:rsidR="00F9667E" w:rsidRPr="00F9667E" w:rsidRDefault="00B81B76" w:rsidP="00F9667E">
      <w:pPr>
        <w:spacing w:after="360"/>
        <w:jc w:val="center"/>
        <w:rPr>
          <w:b/>
          <w:sz w:val="48"/>
        </w:rPr>
      </w:pPr>
      <w:bookmarkStart w:id="0" w:name="_GoBack"/>
      <w:bookmarkEnd w:id="0"/>
      <w:r>
        <w:rPr>
          <w:b/>
          <w:sz w:val="48"/>
        </w:rPr>
        <w:t>Hunter</w:t>
      </w:r>
      <w:r w:rsidR="00F9667E" w:rsidRPr="00F9667E">
        <w:rPr>
          <w:b/>
          <w:sz w:val="48"/>
        </w:rPr>
        <w:t xml:space="preserve"> </w:t>
      </w:r>
      <w:r w:rsidR="00FE1C4A">
        <w:rPr>
          <w:b/>
          <w:sz w:val="48"/>
        </w:rPr>
        <w:t xml:space="preserve">Series </w:t>
      </w:r>
      <w:r w:rsidR="00C35581">
        <w:rPr>
          <w:b/>
          <w:sz w:val="48"/>
        </w:rPr>
        <w:t>Interior Visor Light Bar</w:t>
      </w:r>
    </w:p>
    <w:p w14:paraId="02703D9A" w14:textId="77553773" w:rsidR="00F9667E" w:rsidRPr="00F9667E" w:rsidRDefault="00F9667E" w:rsidP="00F9667E">
      <w:pPr>
        <w:jc w:val="center"/>
        <w:rPr>
          <w:b/>
          <w:sz w:val="48"/>
        </w:rPr>
      </w:pPr>
      <w:r>
        <w:rPr>
          <w:b/>
          <w:sz w:val="48"/>
        </w:rPr>
        <w:t xml:space="preserve">Operating Manual and </w:t>
      </w:r>
      <w:r w:rsidRPr="00F9667E">
        <w:rPr>
          <w:b/>
          <w:sz w:val="48"/>
        </w:rPr>
        <w:t>Installation Instructions</w:t>
      </w:r>
    </w:p>
    <w:p w14:paraId="1305776F" w14:textId="77777777" w:rsidR="00F9667E" w:rsidRDefault="00F9667E"/>
    <w:p w14:paraId="006F6F03" w14:textId="734D9B89" w:rsidR="00F9667E" w:rsidRDefault="00F9667E" w:rsidP="00F9667E">
      <w:pPr>
        <w:jc w:val="center"/>
      </w:pPr>
    </w:p>
    <w:p w14:paraId="0354C059" w14:textId="074E8EF2" w:rsidR="00FE1C4A" w:rsidRDefault="00FE1C4A" w:rsidP="00F9667E">
      <w:pPr>
        <w:jc w:val="center"/>
      </w:pPr>
    </w:p>
    <w:p w14:paraId="63B6B60B" w14:textId="08C17033" w:rsidR="00FE1C4A" w:rsidRDefault="00FE1C4A" w:rsidP="00F9667E">
      <w:pPr>
        <w:jc w:val="center"/>
      </w:pPr>
    </w:p>
    <w:p w14:paraId="7FF9F844" w14:textId="33B63B32" w:rsidR="00EA5E38" w:rsidRDefault="00EA5E38" w:rsidP="00F9667E">
      <w:pPr>
        <w:jc w:val="center"/>
      </w:pPr>
    </w:p>
    <w:p w14:paraId="7109B59E" w14:textId="1C89610B" w:rsidR="00EA5E38" w:rsidRDefault="00EA5E38" w:rsidP="00F9667E">
      <w:pPr>
        <w:jc w:val="center"/>
      </w:pPr>
    </w:p>
    <w:p w14:paraId="5D5C932C" w14:textId="77777777" w:rsidR="00EA5E38" w:rsidRDefault="00EA5E38" w:rsidP="00F9667E">
      <w:pPr>
        <w:jc w:val="center"/>
      </w:pPr>
    </w:p>
    <w:p w14:paraId="0800E407" w14:textId="348499B1" w:rsidR="00F9667E" w:rsidRDefault="00F67358" w:rsidP="00F9667E">
      <w:pPr>
        <w:jc w:val="center"/>
        <w:sectPr w:rsidR="00F9667E">
          <w:headerReference w:type="default" r:id="rId9"/>
          <w:footerReference w:type="even" r:id="rId10"/>
          <w:footerReference w:type="default" r:id="rId11"/>
          <w:pgSz w:w="12240" w:h="15840"/>
          <w:pgMar w:top="1400" w:right="720" w:bottom="280" w:left="640" w:header="720" w:footer="720" w:gutter="0"/>
          <w:cols w:space="720"/>
        </w:sectPr>
      </w:pPr>
      <w:r>
        <w:rPr>
          <w:noProof/>
        </w:rPr>
        <w:drawing>
          <wp:inline distT="0" distB="0" distL="0" distR="0" wp14:anchorId="5E08EBD9" wp14:editId="3B81E5D7">
            <wp:extent cx="6908769" cy="1465007"/>
            <wp:effectExtent l="0" t="0" r="635"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wking 1.jpg"/>
                    <pic:cNvPicPr/>
                  </pic:nvPicPr>
                  <pic:blipFill rotWithShape="1">
                    <a:blip r:embed="rId12">
                      <a:extLst>
                        <a:ext uri="{28A0092B-C50C-407E-A947-70E740481C1C}">
                          <a14:useLocalDpi xmlns:a14="http://schemas.microsoft.com/office/drawing/2010/main" val="0"/>
                        </a:ext>
                      </a:extLst>
                    </a:blip>
                    <a:srcRect t="35579" b="43216"/>
                    <a:stretch/>
                  </pic:blipFill>
                  <pic:spPr bwMode="auto">
                    <a:xfrm>
                      <a:off x="0" y="0"/>
                      <a:ext cx="6908800" cy="1465014"/>
                    </a:xfrm>
                    <a:prstGeom prst="rect">
                      <a:avLst/>
                    </a:prstGeom>
                    <a:ln>
                      <a:noFill/>
                    </a:ln>
                    <a:extLst>
                      <a:ext uri="{53640926-AAD7-44D8-BBD7-CCE9431645EC}">
                        <a14:shadowObscured xmlns:a14="http://schemas.microsoft.com/office/drawing/2010/main"/>
                      </a:ext>
                    </a:extLst>
                  </pic:spPr>
                </pic:pic>
              </a:graphicData>
            </a:graphic>
          </wp:inline>
        </w:drawing>
      </w:r>
    </w:p>
    <w:p w14:paraId="3DC3F3D0" w14:textId="66D06567" w:rsidR="00F9667E" w:rsidRPr="00F9667E" w:rsidRDefault="006C59AF" w:rsidP="00F9667E">
      <w:pPr>
        <w:spacing w:after="120"/>
        <w:jc w:val="center"/>
        <w:rPr>
          <w:b/>
          <w:sz w:val="36"/>
        </w:rPr>
      </w:pPr>
      <w:r>
        <w:rPr>
          <w:b/>
          <w:sz w:val="36"/>
        </w:rPr>
        <w:lastRenderedPageBreak/>
        <w:t>Hunter</w:t>
      </w:r>
      <w:r w:rsidR="00F9667E" w:rsidRPr="00F9667E">
        <w:rPr>
          <w:b/>
          <w:sz w:val="36"/>
        </w:rPr>
        <w:t xml:space="preserve"> </w:t>
      </w:r>
      <w:r w:rsidR="005637D6">
        <w:rPr>
          <w:b/>
          <w:sz w:val="36"/>
        </w:rPr>
        <w:t xml:space="preserve">Series </w:t>
      </w:r>
      <w:r w:rsidR="00F67358">
        <w:rPr>
          <w:b/>
          <w:sz w:val="36"/>
        </w:rPr>
        <w:t>Interior Visor Light Bar</w:t>
      </w:r>
    </w:p>
    <w:p w14:paraId="63F7E5F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66BE07B1" w14:textId="77777777" w:rsidR="00F9667E" w:rsidRDefault="00F9667E" w:rsidP="00F9667E">
      <w:pPr>
        <w:pStyle w:val="Heading2"/>
        <w:ind w:left="0"/>
        <w:jc w:val="center"/>
      </w:pPr>
    </w:p>
    <w:p w14:paraId="591A152D" w14:textId="77777777" w:rsidR="002C42EA" w:rsidRDefault="002C42EA" w:rsidP="00F9667E">
      <w:pPr>
        <w:pStyle w:val="BodyText"/>
        <w:spacing w:before="7"/>
        <w:ind w:left="0" w:right="0"/>
        <w:rPr>
          <w:b/>
          <w:sz w:val="16"/>
        </w:rPr>
      </w:pPr>
    </w:p>
    <w:p w14:paraId="50F2FAEE" w14:textId="77777777" w:rsidR="00F9667E" w:rsidRDefault="00E70C7B" w:rsidP="00F9667E">
      <w:pPr>
        <w:spacing w:line="400" w:lineRule="auto"/>
        <w:jc w:val="center"/>
        <w:rPr>
          <w:b/>
          <w:sz w:val="24"/>
        </w:rPr>
      </w:pPr>
      <w:r w:rsidRPr="00F9667E">
        <w:rPr>
          <w:b/>
          <w:sz w:val="24"/>
        </w:rPr>
        <w:t>Warnings and Notices for Users and Installers</w:t>
      </w:r>
    </w:p>
    <w:p w14:paraId="1A3FE6CC" w14:textId="6CE965CA" w:rsidR="00F9667E" w:rsidRDefault="00E70C7B" w:rsidP="00F9667E">
      <w:pPr>
        <w:spacing w:line="400" w:lineRule="auto"/>
        <w:jc w:val="center"/>
        <w:rPr>
          <w:b/>
        </w:rPr>
      </w:pPr>
      <w:r>
        <w:rPr>
          <w:b/>
        </w:rPr>
        <w:t>WARNING: Take CAUTION when installing</w:t>
      </w:r>
    </w:p>
    <w:p w14:paraId="3C982E48" w14:textId="77777777" w:rsidR="002C42EA" w:rsidRDefault="00E70C7B" w:rsidP="00F9667E">
      <w:pPr>
        <w:pStyle w:val="BodyText"/>
        <w:spacing w:before="4" w:line="259" w:lineRule="auto"/>
        <w:ind w:left="0" w:right="0"/>
        <w:jc w:val="both"/>
      </w:pPr>
      <w:r>
        <w:t>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14:paraId="35345341" w14:textId="77777777" w:rsidR="002C42EA" w:rsidRDefault="00E70C7B" w:rsidP="00F9667E">
      <w:pPr>
        <w:pStyle w:val="BodyText"/>
        <w:spacing w:before="156" w:line="259" w:lineRule="auto"/>
        <w:ind w:left="0" w:right="0"/>
        <w:jc w:val="both"/>
      </w:pPr>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14:paraId="336AA8F3" w14:textId="77777777" w:rsidR="002C42EA" w:rsidRDefault="002C42EA" w:rsidP="00F9667E">
      <w:pPr>
        <w:pStyle w:val="BodyText"/>
        <w:ind w:left="0" w:right="0"/>
        <w:jc w:val="both"/>
      </w:pPr>
    </w:p>
    <w:p w14:paraId="3EDB0355" w14:textId="1E5FB891" w:rsidR="002C42EA" w:rsidRDefault="00E70C7B" w:rsidP="00F9667E">
      <w:pPr>
        <w:pStyle w:val="BodyText"/>
        <w:spacing w:line="259" w:lineRule="auto"/>
        <w:ind w:left="0" w:right="0"/>
        <w:jc w:val="both"/>
      </w:pPr>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r w:rsidR="00F9667E">
        <w:t xml:space="preserve">LEDEQUIPPED </w:t>
      </w:r>
      <w:r>
        <w:t xml:space="preserve">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w:t>
      </w:r>
      <w:r w:rsidR="00F9667E">
        <w:t>LEDEQUIPPED</w:t>
      </w:r>
      <w:r>
        <w:t xml:space="preserve"> equipment is highly dependent upon correct mounting and wiring.</w:t>
      </w:r>
    </w:p>
    <w:p w14:paraId="59384600" w14:textId="77777777" w:rsidR="00F9667E" w:rsidRDefault="00F9667E" w:rsidP="00F9667E">
      <w:pPr>
        <w:pStyle w:val="BodyText"/>
        <w:spacing w:line="259" w:lineRule="auto"/>
        <w:ind w:left="0" w:right="0"/>
        <w:jc w:val="both"/>
      </w:pPr>
    </w:p>
    <w:p w14:paraId="173E7440" w14:textId="72497DD2" w:rsidR="002C42EA" w:rsidRDefault="00E70C7B" w:rsidP="00F9667E">
      <w:pPr>
        <w:pStyle w:val="BodyText"/>
        <w:spacing w:line="259" w:lineRule="auto"/>
        <w:ind w:left="0" w:right="0"/>
        <w:jc w:val="both"/>
      </w:pPr>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w:t>
      </w:r>
      <w:r>
        <w:lastRenderedPageBreak/>
        <w:t>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to detached under aggressive driving conditions such as sudden breaking, collision, or swerving.</w:t>
      </w:r>
    </w:p>
    <w:p w14:paraId="086CCC71" w14:textId="77777777" w:rsidR="00F9667E" w:rsidRDefault="00F9667E" w:rsidP="00F9667E">
      <w:pPr>
        <w:pStyle w:val="BodyText"/>
        <w:spacing w:line="259" w:lineRule="auto"/>
        <w:ind w:left="0" w:right="0"/>
        <w:jc w:val="both"/>
      </w:pPr>
    </w:p>
    <w:p w14:paraId="51FE753E" w14:textId="0AE79B9D" w:rsidR="002C42EA" w:rsidRDefault="00E70C7B" w:rsidP="00F9667E">
      <w:pPr>
        <w:pStyle w:val="Heading2"/>
        <w:spacing w:before="0"/>
        <w:ind w:left="0"/>
        <w:jc w:val="center"/>
      </w:pPr>
      <w:r>
        <w:t>Important Points for Your Safety and Longevity of your Equipment</w:t>
      </w:r>
    </w:p>
    <w:p w14:paraId="29E4BBFE" w14:textId="77777777" w:rsidR="002C42EA" w:rsidRDefault="00E70C7B" w:rsidP="00F9667E">
      <w:pPr>
        <w:pStyle w:val="BodyText"/>
        <w:spacing w:before="180" w:line="261" w:lineRule="auto"/>
        <w:ind w:left="0" w:right="0"/>
        <w:jc w:val="both"/>
      </w:pPr>
      <w:r>
        <w:t>Installers are required to have a good understanding of automotive electronic, systems and procedures for proper installation.</w:t>
      </w:r>
    </w:p>
    <w:p w14:paraId="470CCB67" w14:textId="77777777" w:rsidR="002C42EA" w:rsidRDefault="00E70C7B" w:rsidP="00F9667E">
      <w:pPr>
        <w:pStyle w:val="ListParagraph"/>
        <w:numPr>
          <w:ilvl w:val="0"/>
          <w:numId w:val="4"/>
        </w:numPr>
        <w:spacing w:before="154" w:line="240" w:lineRule="auto"/>
        <w:ind w:left="720" w:hanging="360"/>
        <w:jc w:val="both"/>
      </w:pPr>
      <w:r>
        <w:t>One should not stare directly into the LEDs as momentary blindness and/or eye damage may</w:t>
      </w:r>
      <w:r>
        <w:rPr>
          <w:spacing w:val="-32"/>
        </w:rPr>
        <w:t xml:space="preserve"> </w:t>
      </w:r>
      <w:r>
        <w:t>occur.</w:t>
      </w:r>
    </w:p>
    <w:p w14:paraId="50E3F6DF" w14:textId="77777777" w:rsidR="002C42EA" w:rsidRDefault="00E70C7B" w:rsidP="00F9667E">
      <w:pPr>
        <w:pStyle w:val="ListParagraph"/>
        <w:numPr>
          <w:ilvl w:val="0"/>
          <w:numId w:val="4"/>
        </w:numPr>
        <w:spacing w:before="184" w:line="256" w:lineRule="auto"/>
        <w:ind w:left="720" w:hanging="360"/>
        <w:jc w:val="both"/>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r>
        <w:t>–</w:t>
      </w:r>
    </w:p>
    <w:p w14:paraId="5482BBA7" w14:textId="49CEAA6D" w:rsidR="002C42EA" w:rsidRDefault="00E70C7B" w:rsidP="00F9667E">
      <w:pPr>
        <w:pStyle w:val="BodyText"/>
        <w:numPr>
          <w:ilvl w:val="0"/>
          <w:numId w:val="4"/>
        </w:numPr>
        <w:spacing w:before="166" w:line="256" w:lineRule="auto"/>
        <w:ind w:left="720" w:right="0" w:hanging="360"/>
        <w:jc w:val="both"/>
      </w:pPr>
      <w:r>
        <w:t>One should not use a pressure washer to clean any LEDEQUIPPED products. Inspect and test your product daily to insure it operates properly and is mounted correctly.</w:t>
      </w:r>
    </w:p>
    <w:p w14:paraId="3665CC10" w14:textId="77777777" w:rsidR="002C42EA" w:rsidRDefault="00E70C7B" w:rsidP="00F9667E">
      <w:pPr>
        <w:pStyle w:val="ListParagraph"/>
        <w:numPr>
          <w:ilvl w:val="0"/>
          <w:numId w:val="4"/>
        </w:numPr>
        <w:tabs>
          <w:tab w:val="left" w:pos="917"/>
        </w:tabs>
        <w:spacing w:before="165" w:line="240" w:lineRule="auto"/>
        <w:ind w:left="720" w:hanging="360"/>
        <w:jc w:val="both"/>
      </w:pPr>
      <w:r>
        <w:t>One should not cut wires or work on a unit while the unit is still connected to a power</w:t>
      </w:r>
      <w:r>
        <w:rPr>
          <w:spacing w:val="-28"/>
        </w:rPr>
        <w:t xml:space="preserve"> </w:t>
      </w:r>
      <w:r>
        <w:t>source.</w:t>
      </w:r>
    </w:p>
    <w:p w14:paraId="7A5245D8" w14:textId="77777777" w:rsidR="002C42EA" w:rsidRDefault="00E70C7B" w:rsidP="00F9667E">
      <w:pPr>
        <w:pStyle w:val="ListParagraph"/>
        <w:numPr>
          <w:ilvl w:val="0"/>
          <w:numId w:val="4"/>
        </w:numPr>
        <w:tabs>
          <w:tab w:val="left" w:pos="917"/>
        </w:tabs>
        <w:spacing w:before="179" w:line="259" w:lineRule="auto"/>
        <w:ind w:left="720" w:hanging="360"/>
        <w:jc w:val="both"/>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414E6CF9" w14:textId="77777777" w:rsidR="002C42EA" w:rsidRDefault="00E70C7B" w:rsidP="00F9667E">
      <w:pPr>
        <w:pStyle w:val="BodyText"/>
        <w:spacing w:before="159" w:line="259" w:lineRule="auto"/>
        <w:ind w:left="0" w:right="0"/>
        <w:jc w:val="both"/>
      </w:pPr>
      <w:r>
        <w:t>Reference the owner's manual for your vehicle to find the airbag deployment area. The User/Installer assumes all responsibility to determine proper mounting location, based on providing ultimate safety to all passengers in the vehicle.</w:t>
      </w:r>
    </w:p>
    <w:p w14:paraId="78B76FE2" w14:textId="77777777" w:rsidR="002C42EA" w:rsidRDefault="00E70C7B" w:rsidP="00F9667E">
      <w:pPr>
        <w:pStyle w:val="ListParagraph"/>
        <w:numPr>
          <w:ilvl w:val="0"/>
          <w:numId w:val="4"/>
        </w:numPr>
        <w:spacing w:before="162" w:line="259" w:lineRule="auto"/>
        <w:ind w:left="720" w:hanging="360"/>
        <w:jc w:val="both"/>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04C32BB" w14:textId="77777777" w:rsidR="002C42EA" w:rsidRDefault="00E70C7B" w:rsidP="00F9667E">
      <w:pPr>
        <w:pStyle w:val="ListParagraph"/>
        <w:numPr>
          <w:ilvl w:val="0"/>
          <w:numId w:val="4"/>
        </w:numPr>
        <w:tabs>
          <w:tab w:val="left" w:pos="965"/>
        </w:tabs>
        <w:spacing w:before="160" w:line="259" w:lineRule="auto"/>
        <w:ind w:left="720" w:hanging="360"/>
        <w:jc w:val="both"/>
      </w:pPr>
      <w:r>
        <w:t>For</w:t>
      </w:r>
      <w:r>
        <w:rPr>
          <w:spacing w:val="-3"/>
        </w:rPr>
        <w:t xml:space="preserve"> </w:t>
      </w:r>
      <w:r>
        <w:t>LEDEQUIPPED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191E3D50" w14:textId="79F86364" w:rsidR="002308EC" w:rsidRPr="002308EC" w:rsidRDefault="00026652" w:rsidP="00026652">
      <w:pPr>
        <w:pStyle w:val="ListParagraph"/>
        <w:ind w:left="0" w:firstLine="0"/>
        <w:jc w:val="center"/>
        <w:rPr>
          <w:b/>
        </w:rPr>
      </w:pPr>
      <w:r>
        <w:rPr>
          <w:b/>
        </w:rPr>
        <w:lastRenderedPageBreak/>
        <w:t xml:space="preserve">Included Parts and </w:t>
      </w:r>
      <w:r w:rsidR="002308EC" w:rsidRPr="002308EC">
        <w:rPr>
          <w:b/>
        </w:rPr>
        <w:t>Accessories</w:t>
      </w:r>
    </w:p>
    <w:p w14:paraId="07094F42" w14:textId="16BCA3A4" w:rsidR="002308EC" w:rsidRDefault="002308EC" w:rsidP="002308EC">
      <w:pPr>
        <w:spacing w:before="120"/>
        <w:jc w:val="center"/>
      </w:pPr>
      <w:r>
        <w:t xml:space="preserve">The following parts are included with the </w:t>
      </w:r>
      <w:r w:rsidR="006C59AF">
        <w:t>Hunter</w:t>
      </w:r>
      <w:r>
        <w:t xml:space="preserve"> Series </w:t>
      </w:r>
      <w:r w:rsidR="00825C6E">
        <w:t xml:space="preserve">Interior </w:t>
      </w:r>
      <w:r>
        <w:t>Visor LED Light Bar</w:t>
      </w:r>
      <w:r>
        <w:t>.</w:t>
      </w:r>
      <w:r w:rsidRPr="002308EC">
        <w:t xml:space="preserve"> </w:t>
      </w:r>
    </w:p>
    <w:p w14:paraId="72C28B59" w14:textId="4909F986" w:rsidR="00CF0B04" w:rsidRDefault="002308EC" w:rsidP="00026652">
      <w:r>
        <w:rPr>
          <w:noProof/>
        </w:rPr>
        <w:drawing>
          <wp:inline distT="0" distB="0" distL="0" distR="0" wp14:anchorId="60F780D0" wp14:editId="5A757CD3">
            <wp:extent cx="5942683" cy="884903"/>
            <wp:effectExtent l="0" t="0" r="1270" b="4445"/>
            <wp:docPr id="21" name="Picture 2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wking 1.jpg"/>
                    <pic:cNvPicPr/>
                  </pic:nvPicPr>
                  <pic:blipFill rotWithShape="1">
                    <a:blip r:embed="rId12">
                      <a:extLst>
                        <a:ext uri="{28A0092B-C50C-407E-A947-70E740481C1C}">
                          <a14:useLocalDpi xmlns:a14="http://schemas.microsoft.com/office/drawing/2010/main" val="0"/>
                        </a:ext>
                      </a:extLst>
                    </a:blip>
                    <a:srcRect t="39702" b="45408"/>
                    <a:stretch/>
                  </pic:blipFill>
                  <pic:spPr bwMode="auto">
                    <a:xfrm>
                      <a:off x="0" y="0"/>
                      <a:ext cx="5943600" cy="885040"/>
                    </a:xfrm>
                    <a:prstGeom prst="rect">
                      <a:avLst/>
                    </a:prstGeom>
                    <a:ln>
                      <a:noFill/>
                    </a:ln>
                    <a:extLst>
                      <a:ext uri="{53640926-AAD7-44D8-BBD7-CCE9431645EC}">
                        <a14:shadowObscured xmlns:a14="http://schemas.microsoft.com/office/drawing/2010/main"/>
                      </a:ext>
                    </a:extLst>
                  </pic:spPr>
                </pic:pic>
              </a:graphicData>
            </a:graphic>
          </wp:inline>
        </w:drawing>
      </w:r>
    </w:p>
    <w:p w14:paraId="53A7C147" w14:textId="4D74A93F" w:rsidR="0081213D" w:rsidRDefault="006C59AF" w:rsidP="00026652">
      <w:pPr>
        <w:spacing w:before="120" w:after="120"/>
        <w:jc w:val="center"/>
      </w:pPr>
      <w:r>
        <w:t>Hunter Series</w:t>
      </w:r>
      <w:r w:rsidR="0081213D">
        <w:t xml:space="preserve"> Visor Light Bar</w:t>
      </w:r>
    </w:p>
    <w:p w14:paraId="0B324AE8" w14:textId="3B51FEC6" w:rsidR="002308EC" w:rsidRDefault="0081213D" w:rsidP="00CF0B04">
      <w:r>
        <w:rPr>
          <w:noProof/>
        </w:rPr>
        <w:drawing>
          <wp:inline distT="0" distB="0" distL="0" distR="0" wp14:anchorId="40843090" wp14:editId="5B441107">
            <wp:extent cx="2802194" cy="1864180"/>
            <wp:effectExtent l="0" t="0" r="5080" b="3175"/>
            <wp:docPr id="30" name="Picture 3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wking Mount 1a.jpg"/>
                    <pic:cNvPicPr/>
                  </pic:nvPicPr>
                  <pic:blipFill rotWithShape="1">
                    <a:blip r:embed="rId13" cstate="print">
                      <a:extLst>
                        <a:ext uri="{28A0092B-C50C-407E-A947-70E740481C1C}">
                          <a14:useLocalDpi xmlns:a14="http://schemas.microsoft.com/office/drawing/2010/main" val="0"/>
                        </a:ext>
                      </a:extLst>
                    </a:blip>
                    <a:srcRect t="4511"/>
                    <a:stretch/>
                  </pic:blipFill>
                  <pic:spPr bwMode="auto">
                    <a:xfrm>
                      <a:off x="0" y="0"/>
                      <a:ext cx="2810912" cy="1869979"/>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1B8B6E7D" wp14:editId="2C268ECF">
            <wp:extent cx="1809135" cy="1697775"/>
            <wp:effectExtent l="0" t="0" r="0" b="4445"/>
            <wp:docPr id="23" name="Picture 23" descr="A close up of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wking Mount 2.jpg"/>
                    <pic:cNvPicPr/>
                  </pic:nvPicPr>
                  <pic:blipFill rotWithShape="1">
                    <a:blip r:embed="rId14" cstate="print">
                      <a:extLst>
                        <a:ext uri="{28A0092B-C50C-407E-A947-70E740481C1C}">
                          <a14:useLocalDpi xmlns:a14="http://schemas.microsoft.com/office/drawing/2010/main" val="0"/>
                        </a:ext>
                      </a:extLst>
                    </a:blip>
                    <a:srcRect r="78494" b="19272"/>
                    <a:stretch/>
                  </pic:blipFill>
                  <pic:spPr bwMode="auto">
                    <a:xfrm>
                      <a:off x="0" y="0"/>
                      <a:ext cx="1815542" cy="17037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350"/>
        <w:gridCol w:w="4225"/>
      </w:tblGrid>
      <w:tr w:rsidR="002308EC" w14:paraId="109CCF9E" w14:textId="77777777" w:rsidTr="00231901">
        <w:tc>
          <w:tcPr>
            <w:tcW w:w="3775" w:type="dxa"/>
          </w:tcPr>
          <w:p w14:paraId="2370550A" w14:textId="1E73B21C" w:rsidR="002308EC" w:rsidRDefault="00CF0B04" w:rsidP="00231901">
            <w:pPr>
              <w:spacing w:before="120"/>
              <w:jc w:val="center"/>
            </w:pPr>
            <w:r>
              <w:t>Visor Mounting Brackets (x2)</w:t>
            </w:r>
          </w:p>
        </w:tc>
        <w:tc>
          <w:tcPr>
            <w:tcW w:w="1350" w:type="dxa"/>
          </w:tcPr>
          <w:p w14:paraId="277B214C" w14:textId="77777777" w:rsidR="002308EC" w:rsidRDefault="002308EC" w:rsidP="00231901">
            <w:pPr>
              <w:spacing w:before="120"/>
              <w:jc w:val="center"/>
            </w:pPr>
          </w:p>
        </w:tc>
        <w:tc>
          <w:tcPr>
            <w:tcW w:w="4225" w:type="dxa"/>
          </w:tcPr>
          <w:p w14:paraId="39B93115" w14:textId="1FA5C17A" w:rsidR="002308EC" w:rsidRDefault="00CF0B04" w:rsidP="00231901">
            <w:pPr>
              <w:spacing w:before="120"/>
              <w:jc w:val="center"/>
            </w:pPr>
            <w:r>
              <w:t>Light Bar Mounting Brackets (x4)</w:t>
            </w:r>
          </w:p>
        </w:tc>
      </w:tr>
    </w:tbl>
    <w:p w14:paraId="6AD5A3D5" w14:textId="77777777" w:rsidR="002308EC" w:rsidRDefault="002308EC" w:rsidP="00026652">
      <w:pPr>
        <w:spacing w:before="120"/>
      </w:pPr>
    </w:p>
    <w:p w14:paraId="20FB0E81" w14:textId="3427D4D5" w:rsidR="002308EC" w:rsidRDefault="002308EC" w:rsidP="00CF0B04">
      <w:pPr>
        <w:ind w:firstLine="720"/>
      </w:pPr>
      <w:r>
        <w:rPr>
          <w:noProof/>
        </w:rPr>
        <w:drawing>
          <wp:inline distT="0" distB="0" distL="0" distR="0" wp14:anchorId="4F65E8D3" wp14:editId="15643D09">
            <wp:extent cx="1602658" cy="19070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awking Mount 3.jpg"/>
                    <pic:cNvPicPr/>
                  </pic:nvPicPr>
                  <pic:blipFill rotWithShape="1">
                    <a:blip r:embed="rId15" cstate="print">
                      <a:extLst>
                        <a:ext uri="{28A0092B-C50C-407E-A947-70E740481C1C}">
                          <a14:useLocalDpi xmlns:a14="http://schemas.microsoft.com/office/drawing/2010/main" val="0"/>
                        </a:ext>
                      </a:extLst>
                    </a:blip>
                    <a:srcRect r="78991"/>
                    <a:stretch/>
                  </pic:blipFill>
                  <pic:spPr bwMode="auto">
                    <a:xfrm>
                      <a:off x="0" y="0"/>
                      <a:ext cx="1620934" cy="1928847"/>
                    </a:xfrm>
                    <a:prstGeom prst="rect">
                      <a:avLst/>
                    </a:prstGeom>
                    <a:ln>
                      <a:noFill/>
                    </a:ln>
                    <a:extLst>
                      <a:ext uri="{53640926-AAD7-44D8-BBD7-CCE9431645EC}">
                        <a14:shadowObscured xmlns:a14="http://schemas.microsoft.com/office/drawing/2010/main"/>
                      </a:ext>
                    </a:extLst>
                  </pic:spPr>
                </pic:pic>
              </a:graphicData>
            </a:graphic>
          </wp:inline>
        </w:drawing>
      </w:r>
      <w:r w:rsidR="0081213D">
        <w:tab/>
      </w:r>
      <w:r w:rsidR="0081213D">
        <w:tab/>
      </w:r>
      <w:r w:rsidR="0081213D">
        <w:tab/>
      </w:r>
      <w:r w:rsidR="0081213D">
        <w:rPr>
          <w:noProof/>
        </w:rPr>
        <w:drawing>
          <wp:inline distT="0" distB="0" distL="0" distR="0" wp14:anchorId="175C076A" wp14:editId="40952135">
            <wp:extent cx="2606520" cy="1689937"/>
            <wp:effectExtent l="0" t="0" r="0" b="0"/>
            <wp:docPr id="26" name="Picture 26" descr="A picture containing turner,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wking Mount 6.jpg"/>
                    <pic:cNvPicPr/>
                  </pic:nvPicPr>
                  <pic:blipFill rotWithShape="1">
                    <a:blip r:embed="rId16" cstate="print">
                      <a:extLst>
                        <a:ext uri="{28A0092B-C50C-407E-A947-70E740481C1C}">
                          <a14:useLocalDpi xmlns:a14="http://schemas.microsoft.com/office/drawing/2010/main" val="0"/>
                        </a:ext>
                      </a:extLst>
                    </a:blip>
                    <a:srcRect l="12082" t="14315" r="12125" b="14815"/>
                    <a:stretch/>
                  </pic:blipFill>
                  <pic:spPr bwMode="auto">
                    <a:xfrm>
                      <a:off x="0" y="0"/>
                      <a:ext cx="2614520" cy="169512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2308EC" w14:paraId="405056A8" w14:textId="77777777" w:rsidTr="00231901">
        <w:tc>
          <w:tcPr>
            <w:tcW w:w="4135" w:type="dxa"/>
          </w:tcPr>
          <w:p w14:paraId="5A682289" w14:textId="3151869B" w:rsidR="002308EC" w:rsidRDefault="00CF0B04" w:rsidP="00231901">
            <w:pPr>
              <w:spacing w:before="120"/>
              <w:jc w:val="center"/>
            </w:pPr>
            <w:r>
              <w:t>Light Bar Mounting Brackets (</w:t>
            </w:r>
            <w:r>
              <w:t>x</w:t>
            </w:r>
            <w:r>
              <w:t>4)</w:t>
            </w:r>
          </w:p>
        </w:tc>
        <w:tc>
          <w:tcPr>
            <w:tcW w:w="990" w:type="dxa"/>
          </w:tcPr>
          <w:p w14:paraId="6801BA08" w14:textId="77777777" w:rsidR="002308EC" w:rsidRDefault="002308EC" w:rsidP="00231901">
            <w:pPr>
              <w:spacing w:before="120"/>
              <w:jc w:val="center"/>
            </w:pPr>
          </w:p>
        </w:tc>
        <w:tc>
          <w:tcPr>
            <w:tcW w:w="4225" w:type="dxa"/>
          </w:tcPr>
          <w:p w14:paraId="254AC410" w14:textId="2EEBFF8B" w:rsidR="002308EC" w:rsidRDefault="00CF0B04" w:rsidP="00231901">
            <w:pPr>
              <w:spacing w:before="120"/>
              <w:jc w:val="center"/>
            </w:pPr>
            <w:r>
              <w:t xml:space="preserve">Alternative </w:t>
            </w:r>
            <w:r w:rsidR="00683CB8">
              <w:t xml:space="preserve">Fork </w:t>
            </w:r>
            <w:r>
              <w:t>Visor Mounting Brackets</w:t>
            </w:r>
          </w:p>
        </w:tc>
      </w:tr>
    </w:tbl>
    <w:p w14:paraId="65193163" w14:textId="30424449" w:rsidR="002308EC" w:rsidRDefault="002308EC" w:rsidP="00026652">
      <w:pPr>
        <w:spacing w:before="120"/>
        <w:ind w:firstLine="720"/>
      </w:pPr>
    </w:p>
    <w:p w14:paraId="12889250" w14:textId="081F632D" w:rsidR="002308EC" w:rsidRDefault="00A87CA3" w:rsidP="00CF0B04">
      <w:pPr>
        <w:jc w:val="center"/>
      </w:pPr>
      <w:r>
        <w:rPr>
          <w:noProof/>
        </w:rPr>
        <w:drawing>
          <wp:inline distT="0" distB="0" distL="0" distR="0" wp14:anchorId="528E7AEB" wp14:editId="66C14E77">
            <wp:extent cx="2439117" cy="1054960"/>
            <wp:effectExtent l="0" t="0" r="0" b="0"/>
            <wp:docPr id="29" name="Picture 29"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wking Flash Back and Hardwar.jpg"/>
                    <pic:cNvPicPr/>
                  </pic:nvPicPr>
                  <pic:blipFill rotWithShape="1">
                    <a:blip r:embed="rId17">
                      <a:extLst>
                        <a:ext uri="{28A0092B-C50C-407E-A947-70E740481C1C}">
                          <a14:useLocalDpi xmlns:a14="http://schemas.microsoft.com/office/drawing/2010/main" val="0"/>
                        </a:ext>
                      </a:extLst>
                    </a:blip>
                    <a:srcRect l="47337" t="51767" b="25456"/>
                    <a:stretch/>
                  </pic:blipFill>
                  <pic:spPr bwMode="auto">
                    <a:xfrm>
                      <a:off x="0" y="0"/>
                      <a:ext cx="2467242" cy="1067125"/>
                    </a:xfrm>
                    <a:prstGeom prst="rect">
                      <a:avLst/>
                    </a:prstGeom>
                    <a:ln>
                      <a:noFill/>
                    </a:ln>
                    <a:extLst>
                      <a:ext uri="{53640926-AAD7-44D8-BBD7-CCE9431645EC}">
                        <a14:shadowObscured xmlns:a14="http://schemas.microsoft.com/office/drawing/2010/main"/>
                      </a:ext>
                    </a:extLst>
                  </pic:spPr>
                </pic:pic>
              </a:graphicData>
            </a:graphic>
          </wp:inline>
        </w:drawing>
      </w:r>
      <w:r w:rsidR="0081213D">
        <w:tab/>
      </w:r>
      <w:r w:rsidR="0081213D">
        <w:tab/>
      </w:r>
      <w:r w:rsidR="0081213D">
        <w:rPr>
          <w:noProof/>
        </w:rPr>
        <w:drawing>
          <wp:inline distT="0" distB="0" distL="0" distR="0" wp14:anchorId="57FB1526" wp14:editId="33AFF07E">
            <wp:extent cx="1965619" cy="576723"/>
            <wp:effectExtent l="0" t="0" r="3175" b="0"/>
            <wp:docPr id="28" name="Picture 28"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awking Flash Back and Hardwar.jpg"/>
                    <pic:cNvPicPr/>
                  </pic:nvPicPr>
                  <pic:blipFill rotWithShape="1">
                    <a:blip r:embed="rId17">
                      <a:extLst>
                        <a:ext uri="{28A0092B-C50C-407E-A947-70E740481C1C}">
                          <a14:useLocalDpi xmlns:a14="http://schemas.microsoft.com/office/drawing/2010/main" val="0"/>
                        </a:ext>
                      </a:extLst>
                    </a:blip>
                    <a:srcRect t="58183" r="51779" b="27668"/>
                    <a:stretch/>
                  </pic:blipFill>
                  <pic:spPr bwMode="auto">
                    <a:xfrm>
                      <a:off x="0" y="0"/>
                      <a:ext cx="1974462" cy="57931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CF0B04" w14:paraId="0BFBE51F" w14:textId="77777777" w:rsidTr="00231901">
        <w:tc>
          <w:tcPr>
            <w:tcW w:w="4135" w:type="dxa"/>
          </w:tcPr>
          <w:p w14:paraId="3FC960CA" w14:textId="557F0F2C" w:rsidR="00CF0B04" w:rsidRDefault="00CF0B04" w:rsidP="00231901">
            <w:pPr>
              <w:spacing w:before="120"/>
              <w:jc w:val="center"/>
            </w:pPr>
            <w:r>
              <w:t>Flashback Shield (x2)</w:t>
            </w:r>
          </w:p>
        </w:tc>
        <w:tc>
          <w:tcPr>
            <w:tcW w:w="990" w:type="dxa"/>
          </w:tcPr>
          <w:p w14:paraId="2B92E9A5" w14:textId="77777777" w:rsidR="00CF0B04" w:rsidRDefault="00CF0B04" w:rsidP="00231901">
            <w:pPr>
              <w:spacing w:before="120"/>
              <w:jc w:val="center"/>
            </w:pPr>
          </w:p>
        </w:tc>
        <w:tc>
          <w:tcPr>
            <w:tcW w:w="4225" w:type="dxa"/>
          </w:tcPr>
          <w:p w14:paraId="3E1A24A0" w14:textId="697A91A1" w:rsidR="00CF0B04" w:rsidRDefault="00CF0B04" w:rsidP="00231901">
            <w:pPr>
              <w:spacing w:before="120"/>
              <w:jc w:val="center"/>
            </w:pPr>
            <w:r>
              <w:t>Mounting Hardware</w:t>
            </w:r>
            <w:r w:rsidR="00683CB8">
              <w:t xml:space="preserve"> (various)</w:t>
            </w:r>
          </w:p>
        </w:tc>
      </w:tr>
    </w:tbl>
    <w:p w14:paraId="5AB97DDC" w14:textId="77777777" w:rsidR="002308EC" w:rsidRDefault="002308EC">
      <w:pPr>
        <w:rPr>
          <w:b/>
          <w:bCs/>
        </w:rPr>
      </w:pPr>
      <w:r>
        <w:br w:type="page"/>
      </w:r>
    </w:p>
    <w:p w14:paraId="007F74C9" w14:textId="65A3DF46" w:rsidR="002C42EA" w:rsidRDefault="00E70C7B" w:rsidP="00F9667E">
      <w:pPr>
        <w:pStyle w:val="Heading2"/>
        <w:ind w:left="0"/>
        <w:jc w:val="center"/>
      </w:pPr>
      <w:r>
        <w:lastRenderedPageBreak/>
        <w:t xml:space="preserve">Instructions for Wiring and </w:t>
      </w:r>
      <w:r w:rsidR="00F9667E">
        <w:t>Operati</w:t>
      </w:r>
      <w:r w:rsidR="007E4C81">
        <w:t>on</w:t>
      </w:r>
    </w:p>
    <w:p w14:paraId="1B1F1925" w14:textId="13146335" w:rsidR="00F9667E" w:rsidRDefault="00F9667E" w:rsidP="00F9667E">
      <w:pPr>
        <w:pStyle w:val="BodyText"/>
        <w:spacing w:before="179" w:line="261" w:lineRule="auto"/>
        <w:ind w:left="0" w:right="0"/>
        <w:jc w:val="both"/>
      </w:pPr>
    </w:p>
    <w:p w14:paraId="102E95AA" w14:textId="6A3BA1A4" w:rsidR="00F9667E" w:rsidRPr="00F9667E" w:rsidRDefault="00F9667E" w:rsidP="00F9667E">
      <w:pPr>
        <w:pStyle w:val="BodyText"/>
        <w:spacing w:before="179" w:line="261" w:lineRule="auto"/>
        <w:ind w:left="0" w:right="0"/>
        <w:jc w:val="both"/>
        <w:rPr>
          <w:u w:val="single"/>
        </w:rPr>
      </w:pPr>
      <w:r w:rsidRPr="00F9667E">
        <w:rPr>
          <w:u w:val="single"/>
        </w:rPr>
        <w:t>Installation</w:t>
      </w:r>
      <w:r>
        <w:rPr>
          <w:u w:val="single"/>
        </w:rPr>
        <w:t xml:space="preserve"> and </w:t>
      </w:r>
      <w:r w:rsidR="00655136">
        <w:rPr>
          <w:u w:val="single"/>
        </w:rPr>
        <w:t xml:space="preserve">Optional </w:t>
      </w:r>
      <w:r>
        <w:rPr>
          <w:u w:val="single"/>
        </w:rPr>
        <w:t>Wiring</w:t>
      </w:r>
    </w:p>
    <w:p w14:paraId="34AFE9E9" w14:textId="6A10A1E1" w:rsidR="002C42EA" w:rsidRDefault="00E70C7B" w:rsidP="00F9667E">
      <w:pPr>
        <w:pStyle w:val="BodyText"/>
        <w:spacing w:before="179" w:line="261" w:lineRule="auto"/>
        <w:ind w:left="0" w:right="0"/>
        <w:jc w:val="both"/>
      </w:pPr>
      <w:r>
        <w:t>To ensure proper installation installers are required to have a good understanding of automotive electronic, systems and procedures for proper installation.</w:t>
      </w:r>
    </w:p>
    <w:p w14:paraId="5BAD4D89" w14:textId="77777777" w:rsidR="002C42EA" w:rsidRDefault="00E70C7B" w:rsidP="00F9667E">
      <w:pPr>
        <w:pStyle w:val="BodyText"/>
        <w:spacing w:before="155" w:line="259" w:lineRule="auto"/>
        <w:ind w:left="0" w:right="0"/>
        <w:jc w:val="both"/>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2846776" w14:textId="77777777" w:rsidR="002C42EA" w:rsidRDefault="00E70C7B" w:rsidP="00F9667E">
      <w:pPr>
        <w:pStyle w:val="BodyText"/>
        <w:spacing w:before="160" w:line="259" w:lineRule="auto"/>
        <w:ind w:left="0" w:right="0"/>
        <w:jc w:val="both"/>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4C81DE34" w14:textId="77777777" w:rsidR="002C42EA" w:rsidRDefault="00E70C7B" w:rsidP="00F9667E">
      <w:pPr>
        <w:pStyle w:val="BodyText"/>
        <w:spacing w:before="160" w:line="259" w:lineRule="auto"/>
        <w:ind w:left="0" w:right="0"/>
        <w:jc w:val="both"/>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D363D8B" w14:textId="2C5A98B7" w:rsidR="002C42EA" w:rsidRPr="00F9667E" w:rsidRDefault="00E70C7B" w:rsidP="00F9667E">
      <w:pPr>
        <w:pStyle w:val="BodyText"/>
        <w:spacing w:before="158" w:line="259" w:lineRule="auto"/>
        <w:ind w:left="0" w:right="0"/>
        <w:jc w:val="both"/>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F9667E" w:rsidRPr="00F9667E">
        <w:rPr>
          <w:rFonts w:asciiTheme="minorHAnsi" w:hAnsiTheme="minorHAnsi"/>
        </w:rPr>
        <w:t xml:space="preserve">LEDEQUIPPED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p>
    <w:p w14:paraId="4AE802B2" w14:textId="7CB89176" w:rsidR="00F9667E" w:rsidRPr="005637D6" w:rsidRDefault="00F9667E" w:rsidP="00825C6E">
      <w:pPr>
        <w:pStyle w:val="Heading1"/>
        <w:spacing w:line="262" w:lineRule="auto"/>
        <w:ind w:left="0" w:right="0"/>
        <w:jc w:val="both"/>
        <w:rPr>
          <w:rFonts w:asciiTheme="minorHAnsi" w:hAnsiTheme="minorHAnsi"/>
          <w:b w:val="0"/>
          <w:sz w:val="22"/>
          <w:szCs w:val="22"/>
          <w:u w:val="none"/>
        </w:rPr>
      </w:pPr>
      <w:bookmarkStart w:id="1" w:name="Blank_Page"/>
      <w:bookmarkEnd w:id="1"/>
      <w:r w:rsidRPr="00825C6E">
        <w:rPr>
          <w:rFonts w:asciiTheme="minorHAnsi" w:hAnsiTheme="minorHAnsi"/>
          <w:u w:val="none"/>
        </w:rPr>
        <w:br w:type="page"/>
      </w:r>
    </w:p>
    <w:p w14:paraId="62049E7D" w14:textId="24D5360A" w:rsidR="00F9667E" w:rsidRDefault="00655136" w:rsidP="00F9667E">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lastRenderedPageBreak/>
        <w:t>Operating</w:t>
      </w:r>
      <w:r w:rsidR="00F9667E">
        <w:rPr>
          <w:rFonts w:asciiTheme="minorHAnsi" w:hAnsiTheme="minorHAnsi"/>
          <w:sz w:val="22"/>
          <w:szCs w:val="22"/>
          <w:u w:val="none"/>
        </w:rPr>
        <w:t xml:space="preserve"> </w:t>
      </w:r>
      <w:r w:rsidR="00F9667E" w:rsidRPr="00652EFF">
        <w:rPr>
          <w:rFonts w:asciiTheme="minorHAnsi" w:hAnsiTheme="minorHAnsi"/>
          <w:sz w:val="22"/>
          <w:szCs w:val="22"/>
          <w:u w:val="none"/>
        </w:rPr>
        <w:t xml:space="preserve">the </w:t>
      </w:r>
      <w:r w:rsidR="006C59AF">
        <w:rPr>
          <w:rFonts w:asciiTheme="minorHAnsi" w:hAnsiTheme="minorHAnsi"/>
          <w:sz w:val="22"/>
          <w:szCs w:val="22"/>
          <w:u w:val="none"/>
        </w:rPr>
        <w:t>Hunter</w:t>
      </w:r>
      <w:r w:rsidR="00652EFF" w:rsidRPr="00652EFF">
        <w:rPr>
          <w:rFonts w:asciiTheme="minorHAnsi" w:hAnsiTheme="minorHAnsi"/>
          <w:sz w:val="22"/>
          <w:szCs w:val="22"/>
          <w:u w:val="none"/>
        </w:rPr>
        <w:t xml:space="preserve"> Series Interior Visor Light Bar</w:t>
      </w:r>
    </w:p>
    <w:p w14:paraId="1FD192E5" w14:textId="45FD1F87" w:rsidR="00F9667E" w:rsidRDefault="00F9667E" w:rsidP="00F9667E">
      <w:pPr>
        <w:pStyle w:val="Heading1"/>
        <w:spacing w:before="0" w:line="208" w:lineRule="auto"/>
        <w:ind w:left="0" w:right="0"/>
        <w:jc w:val="left"/>
        <w:rPr>
          <w:rFonts w:asciiTheme="minorHAnsi" w:hAnsiTheme="minorHAnsi"/>
          <w:b w:val="0"/>
          <w:sz w:val="22"/>
          <w:szCs w:val="22"/>
          <w:u w:val="none"/>
        </w:rPr>
      </w:pPr>
    </w:p>
    <w:p w14:paraId="04054D81" w14:textId="4C7E0301" w:rsidR="00FC3604" w:rsidRDefault="00F9667E" w:rsidP="00FC3604">
      <w:pPr>
        <w:pStyle w:val="Heading1"/>
        <w:spacing w:before="0" w:line="262" w:lineRule="auto"/>
        <w:ind w:left="0" w:right="0"/>
        <w:jc w:val="both"/>
        <w:rPr>
          <w:rFonts w:asciiTheme="minorHAnsi" w:hAnsiTheme="minorHAnsi"/>
          <w:b w:val="0"/>
          <w:sz w:val="22"/>
          <w:szCs w:val="22"/>
          <w:u w:val="none"/>
        </w:rPr>
      </w:pPr>
      <w:r w:rsidRPr="00F9667E">
        <w:rPr>
          <w:rFonts w:asciiTheme="minorHAnsi" w:hAnsiTheme="minorHAnsi"/>
          <w:b w:val="0"/>
          <w:sz w:val="22"/>
          <w:szCs w:val="22"/>
          <w:u w:val="none"/>
        </w:rPr>
        <w:t xml:space="preserve">Wiring the </w:t>
      </w:r>
      <w:r w:rsidR="006C59AF">
        <w:rPr>
          <w:rFonts w:asciiTheme="minorHAnsi" w:hAnsiTheme="minorHAnsi"/>
          <w:b w:val="0"/>
          <w:sz w:val="22"/>
          <w:szCs w:val="22"/>
          <w:u w:val="none"/>
        </w:rPr>
        <w:t>Hunter</w:t>
      </w:r>
      <w:r w:rsidR="00825C6E">
        <w:rPr>
          <w:rFonts w:asciiTheme="minorHAnsi" w:hAnsiTheme="minorHAnsi"/>
          <w:b w:val="0"/>
          <w:sz w:val="22"/>
          <w:szCs w:val="22"/>
          <w:u w:val="none"/>
        </w:rPr>
        <w:t xml:space="preserve"> Series Interior Visor Light Bar </w:t>
      </w:r>
      <w:r>
        <w:rPr>
          <w:rFonts w:asciiTheme="minorHAnsi" w:hAnsiTheme="minorHAnsi"/>
          <w:b w:val="0"/>
          <w:sz w:val="22"/>
          <w:szCs w:val="22"/>
          <w:u w:val="none"/>
        </w:rPr>
        <w:t xml:space="preserve">is as simple as </w:t>
      </w:r>
      <w:r w:rsidR="005637D6">
        <w:rPr>
          <w:rFonts w:asciiTheme="minorHAnsi" w:hAnsiTheme="minorHAnsi"/>
          <w:b w:val="0"/>
          <w:sz w:val="22"/>
          <w:szCs w:val="22"/>
          <w:u w:val="none"/>
        </w:rPr>
        <w:t>inserting the prewired plug</w:t>
      </w:r>
      <w:r>
        <w:rPr>
          <w:rFonts w:asciiTheme="minorHAnsi" w:hAnsiTheme="minorHAnsi"/>
          <w:b w:val="0"/>
          <w:sz w:val="22"/>
          <w:szCs w:val="22"/>
          <w:u w:val="none"/>
        </w:rPr>
        <w:t xml:space="preserve"> </w:t>
      </w:r>
      <w:r w:rsidR="005637D6">
        <w:rPr>
          <w:rFonts w:asciiTheme="minorHAnsi" w:hAnsiTheme="minorHAnsi"/>
          <w:b w:val="0"/>
          <w:sz w:val="22"/>
          <w:szCs w:val="22"/>
          <w:u w:val="none"/>
        </w:rPr>
        <w:t xml:space="preserve">into a 12v auxiliary power outlet.  Once connected to a 12v power source, the provided on/off rocker switch can be used to power on the </w:t>
      </w:r>
      <w:r w:rsidR="006C59AF">
        <w:rPr>
          <w:rFonts w:asciiTheme="minorHAnsi" w:hAnsiTheme="minorHAnsi"/>
          <w:b w:val="0"/>
          <w:sz w:val="22"/>
          <w:szCs w:val="22"/>
          <w:u w:val="none"/>
        </w:rPr>
        <w:t>Hunter</w:t>
      </w:r>
      <w:r w:rsidR="00FC3604">
        <w:rPr>
          <w:rFonts w:asciiTheme="minorHAnsi" w:hAnsiTheme="minorHAnsi"/>
          <w:b w:val="0"/>
          <w:sz w:val="22"/>
          <w:szCs w:val="22"/>
          <w:u w:val="none"/>
        </w:rPr>
        <w:t xml:space="preserve"> Series Interior Visor Light Bar</w:t>
      </w:r>
      <w:r w:rsidR="005637D6">
        <w:rPr>
          <w:rFonts w:asciiTheme="minorHAnsi" w:hAnsiTheme="minorHAnsi"/>
          <w:b w:val="0"/>
          <w:sz w:val="22"/>
          <w:szCs w:val="22"/>
          <w:u w:val="none"/>
        </w:rPr>
        <w:t xml:space="preserve">.  </w:t>
      </w:r>
    </w:p>
    <w:p w14:paraId="194625D1" w14:textId="33257E58" w:rsidR="006C59AF" w:rsidRDefault="006C59AF" w:rsidP="00FC3604">
      <w:pPr>
        <w:pStyle w:val="Heading1"/>
        <w:spacing w:before="0" w:line="262" w:lineRule="auto"/>
        <w:ind w:left="0" w:right="0"/>
        <w:jc w:val="both"/>
        <w:rPr>
          <w:rFonts w:asciiTheme="minorHAnsi" w:hAnsiTheme="minorHAnsi"/>
          <w:b w:val="0"/>
          <w:sz w:val="22"/>
          <w:szCs w:val="22"/>
          <w:u w:val="none"/>
        </w:rPr>
      </w:pPr>
    </w:p>
    <w:p w14:paraId="406CD162" w14:textId="304CD91A" w:rsidR="006C59AF" w:rsidRDefault="006C59AF"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Pr>
          <w:rFonts w:asciiTheme="minorHAnsi" w:hAnsiTheme="minorHAnsi"/>
          <w:b w:val="0"/>
          <w:sz w:val="22"/>
          <w:szCs w:val="22"/>
          <w:u w:val="none"/>
        </w:rPr>
        <w:t>Hunter Series Interior Visor Light Bar</w:t>
      </w:r>
      <w:r>
        <w:rPr>
          <w:rFonts w:asciiTheme="minorHAnsi" w:hAnsiTheme="minorHAnsi"/>
          <w:b w:val="0"/>
          <w:sz w:val="22"/>
          <w:szCs w:val="22"/>
          <w:u w:val="none"/>
        </w:rPr>
        <w:t xml:space="preserve"> includes a driver side</w:t>
      </w:r>
      <w:r w:rsidR="00EB2A70">
        <w:rPr>
          <w:rFonts w:asciiTheme="minorHAnsi" w:hAnsiTheme="minorHAnsi"/>
          <w:b w:val="0"/>
          <w:sz w:val="22"/>
          <w:szCs w:val="22"/>
          <w:u w:val="none"/>
        </w:rPr>
        <w:t xml:space="preserve">, built-in controller which allows the user to select the functions that are desired during operation.  Figure 1 below identifies the functions that come standard when using the </w:t>
      </w:r>
      <w:r w:rsidR="00EB2A70">
        <w:rPr>
          <w:rFonts w:asciiTheme="minorHAnsi" w:hAnsiTheme="minorHAnsi"/>
          <w:b w:val="0"/>
          <w:sz w:val="22"/>
          <w:szCs w:val="22"/>
          <w:u w:val="none"/>
        </w:rPr>
        <w:t>Hunter Series Interior Visor Light Bar</w:t>
      </w:r>
      <w:r w:rsidR="00EB2A70">
        <w:rPr>
          <w:rFonts w:asciiTheme="minorHAnsi" w:hAnsiTheme="minorHAnsi"/>
          <w:b w:val="0"/>
          <w:sz w:val="22"/>
          <w:szCs w:val="22"/>
          <w:u w:val="none"/>
        </w:rPr>
        <w:t>.</w:t>
      </w:r>
    </w:p>
    <w:p w14:paraId="6F0E177A" w14:textId="20B96931" w:rsidR="005637D6" w:rsidRDefault="00FC3604"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 </w:t>
      </w:r>
    </w:p>
    <w:p w14:paraId="3F2DD663" w14:textId="2585814C" w:rsidR="007829A3" w:rsidRDefault="007829A3"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6C59AF">
        <w:rPr>
          <w:rFonts w:asciiTheme="minorHAnsi" w:hAnsiTheme="minorHAnsi"/>
          <w:b w:val="0"/>
          <w:sz w:val="22"/>
          <w:szCs w:val="22"/>
          <w:u w:val="none"/>
        </w:rPr>
        <w:t>Hunter</w:t>
      </w:r>
      <w:r w:rsidR="00FC3604">
        <w:rPr>
          <w:rFonts w:asciiTheme="minorHAnsi" w:hAnsiTheme="minorHAnsi"/>
          <w:b w:val="0"/>
          <w:sz w:val="22"/>
          <w:szCs w:val="22"/>
          <w:u w:val="none"/>
        </w:rPr>
        <w:t xml:space="preserve"> Series Interior Visor Light Bar </w:t>
      </w:r>
      <w:r>
        <w:rPr>
          <w:rFonts w:asciiTheme="minorHAnsi" w:hAnsiTheme="minorHAnsi"/>
          <w:b w:val="0"/>
          <w:sz w:val="22"/>
          <w:szCs w:val="22"/>
          <w:u w:val="none"/>
        </w:rPr>
        <w:t>also come</w:t>
      </w:r>
      <w:r w:rsidR="00FC3604">
        <w:rPr>
          <w:rFonts w:asciiTheme="minorHAnsi" w:hAnsiTheme="minorHAnsi"/>
          <w:b w:val="0"/>
          <w:sz w:val="22"/>
          <w:szCs w:val="22"/>
          <w:u w:val="none"/>
        </w:rPr>
        <w:t>s</w:t>
      </w:r>
      <w:r>
        <w:rPr>
          <w:rFonts w:asciiTheme="minorHAnsi" w:hAnsiTheme="minorHAnsi"/>
          <w:b w:val="0"/>
          <w:sz w:val="22"/>
          <w:szCs w:val="22"/>
          <w:u w:val="none"/>
        </w:rPr>
        <w:t xml:space="preserve"> </w:t>
      </w:r>
      <w:r w:rsidR="00F9667E">
        <w:rPr>
          <w:rFonts w:asciiTheme="minorHAnsi" w:hAnsiTheme="minorHAnsi"/>
          <w:b w:val="0"/>
          <w:sz w:val="22"/>
          <w:szCs w:val="22"/>
          <w:u w:val="none"/>
        </w:rPr>
        <w:t xml:space="preserve">prewired </w:t>
      </w:r>
      <w:r>
        <w:rPr>
          <w:rFonts w:asciiTheme="minorHAnsi" w:hAnsiTheme="minorHAnsi"/>
          <w:b w:val="0"/>
          <w:sz w:val="22"/>
          <w:szCs w:val="22"/>
          <w:u w:val="none"/>
        </w:rPr>
        <w:t>to connect directly to an optional external switch box.  LEDEQUIPPED</w:t>
      </w:r>
      <w:r w:rsidR="00FC3604">
        <w:rPr>
          <w:rFonts w:asciiTheme="minorHAnsi" w:hAnsiTheme="minorHAnsi"/>
          <w:b w:val="0"/>
          <w:sz w:val="22"/>
          <w:szCs w:val="22"/>
          <w:u w:val="none"/>
        </w:rPr>
        <w:t xml:space="preserve"> offers a number of external switch box options for hardwiring the </w:t>
      </w:r>
      <w:r w:rsidR="006C59AF">
        <w:rPr>
          <w:rFonts w:asciiTheme="minorHAnsi" w:hAnsiTheme="minorHAnsi"/>
          <w:b w:val="0"/>
          <w:sz w:val="22"/>
          <w:szCs w:val="22"/>
          <w:u w:val="none"/>
        </w:rPr>
        <w:t>Hunter</w:t>
      </w:r>
      <w:r w:rsidR="00FC3604">
        <w:rPr>
          <w:rFonts w:asciiTheme="minorHAnsi" w:hAnsiTheme="minorHAnsi"/>
          <w:b w:val="0"/>
          <w:sz w:val="22"/>
          <w:szCs w:val="22"/>
          <w:u w:val="none"/>
        </w:rPr>
        <w:t xml:space="preserve"> Series Interior Visor Light Bar </w:t>
      </w:r>
      <w:r w:rsidR="00C122B3">
        <w:rPr>
          <w:rFonts w:asciiTheme="minorHAnsi" w:hAnsiTheme="minorHAnsi"/>
          <w:b w:val="0"/>
          <w:sz w:val="22"/>
          <w:szCs w:val="22"/>
          <w:u w:val="none"/>
        </w:rPr>
        <w:t xml:space="preserve">for effortless integration and installation.  </w:t>
      </w:r>
    </w:p>
    <w:p w14:paraId="259E97BA" w14:textId="77777777" w:rsidR="00C122B3" w:rsidRDefault="00C122B3" w:rsidP="00FC3604">
      <w:pPr>
        <w:pStyle w:val="Heading1"/>
        <w:spacing w:before="0" w:line="262" w:lineRule="auto"/>
        <w:ind w:left="0" w:right="0"/>
        <w:jc w:val="both"/>
        <w:rPr>
          <w:rFonts w:asciiTheme="minorHAnsi" w:hAnsiTheme="minorHAnsi"/>
          <w:b w:val="0"/>
          <w:sz w:val="22"/>
          <w:szCs w:val="22"/>
          <w:u w:val="none"/>
        </w:rPr>
      </w:pPr>
    </w:p>
    <w:p w14:paraId="38F5EDE7" w14:textId="4E2CC02B" w:rsidR="00F9667E" w:rsidRDefault="007829A3"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The</w:t>
      </w:r>
      <w:r w:rsidR="00F9667E" w:rsidRPr="00F9667E">
        <w:rPr>
          <w:rFonts w:asciiTheme="minorHAnsi" w:hAnsiTheme="minorHAnsi"/>
          <w:b w:val="0"/>
          <w:sz w:val="22"/>
          <w:szCs w:val="22"/>
          <w:u w:val="none"/>
        </w:rPr>
        <w:t xml:space="preserve"> </w:t>
      </w:r>
      <w:r w:rsidR="006C59AF">
        <w:rPr>
          <w:rFonts w:asciiTheme="minorHAnsi" w:hAnsiTheme="minorHAnsi"/>
          <w:b w:val="0"/>
          <w:sz w:val="22"/>
          <w:szCs w:val="22"/>
          <w:u w:val="none"/>
        </w:rPr>
        <w:t>Hunter</w:t>
      </w:r>
      <w:r w:rsidR="00C122B3">
        <w:rPr>
          <w:rFonts w:asciiTheme="minorHAnsi" w:hAnsiTheme="minorHAnsi"/>
          <w:b w:val="0"/>
          <w:sz w:val="22"/>
          <w:szCs w:val="22"/>
          <w:u w:val="none"/>
        </w:rPr>
        <w:t xml:space="preserve"> Series Interior Visor Light Bar </w:t>
      </w:r>
      <w:r>
        <w:rPr>
          <w:rFonts w:asciiTheme="minorHAnsi" w:hAnsiTheme="minorHAnsi"/>
          <w:b w:val="0"/>
          <w:sz w:val="22"/>
          <w:szCs w:val="22"/>
          <w:u w:val="none"/>
        </w:rPr>
        <w:t xml:space="preserve">can be hard wired to </w:t>
      </w:r>
      <w:r w:rsidR="00EB2A70">
        <w:rPr>
          <w:rFonts w:asciiTheme="minorHAnsi" w:hAnsiTheme="minorHAnsi"/>
          <w:b w:val="0"/>
          <w:sz w:val="22"/>
          <w:szCs w:val="22"/>
          <w:u w:val="none"/>
        </w:rPr>
        <w:t>provide a constant power source</w:t>
      </w:r>
      <w:r>
        <w:rPr>
          <w:rFonts w:asciiTheme="minorHAnsi" w:hAnsiTheme="minorHAnsi"/>
          <w:b w:val="0"/>
          <w:sz w:val="22"/>
          <w:szCs w:val="22"/>
          <w:u w:val="none"/>
        </w:rPr>
        <w:t xml:space="preserve"> </w:t>
      </w:r>
      <w:r w:rsidR="00EB2A70">
        <w:rPr>
          <w:rFonts w:asciiTheme="minorHAnsi" w:hAnsiTheme="minorHAnsi"/>
          <w:b w:val="0"/>
          <w:sz w:val="22"/>
          <w:szCs w:val="22"/>
          <w:u w:val="none"/>
        </w:rPr>
        <w:t>for powering the unit</w:t>
      </w:r>
      <w:r w:rsidR="00F9667E">
        <w:rPr>
          <w:rFonts w:asciiTheme="minorHAnsi" w:hAnsiTheme="minorHAnsi"/>
          <w:b w:val="0"/>
          <w:sz w:val="22"/>
          <w:szCs w:val="22"/>
          <w:u w:val="none"/>
        </w:rPr>
        <w:t xml:space="preserve">.  </w:t>
      </w:r>
      <w:r w:rsidR="00EB2A70">
        <w:rPr>
          <w:rFonts w:asciiTheme="minorHAnsi" w:hAnsiTheme="minorHAnsi"/>
          <w:b w:val="0"/>
          <w:sz w:val="22"/>
          <w:szCs w:val="22"/>
          <w:u w:val="none"/>
        </w:rPr>
        <w:t>To hardwire the unit to a constant power source, connect</w:t>
      </w:r>
      <w:r w:rsidR="00F9667E">
        <w:rPr>
          <w:rFonts w:asciiTheme="minorHAnsi" w:hAnsiTheme="minorHAnsi"/>
          <w:b w:val="0"/>
          <w:sz w:val="22"/>
          <w:szCs w:val="22"/>
          <w:u w:val="none"/>
        </w:rPr>
        <w:t xml:space="preserve"> the 12v + (Positive/Red Wires) and 12v – (Negative/Black Wires) to an appropriate 12v </w:t>
      </w:r>
      <w:r w:rsidR="00E82780">
        <w:rPr>
          <w:rFonts w:asciiTheme="minorHAnsi" w:hAnsiTheme="minorHAnsi"/>
          <w:b w:val="0"/>
          <w:sz w:val="22"/>
          <w:szCs w:val="22"/>
          <w:u w:val="none"/>
        </w:rPr>
        <w:t>power source</w:t>
      </w:r>
      <w:r w:rsidR="00DF5CC4">
        <w:rPr>
          <w:rFonts w:asciiTheme="minorHAnsi" w:hAnsiTheme="minorHAnsi"/>
          <w:b w:val="0"/>
          <w:sz w:val="22"/>
          <w:szCs w:val="22"/>
          <w:u w:val="none"/>
        </w:rPr>
        <w:t xml:space="preserve"> </w:t>
      </w:r>
      <w:r w:rsidR="00E82780">
        <w:rPr>
          <w:rFonts w:asciiTheme="minorHAnsi" w:hAnsiTheme="minorHAnsi"/>
          <w:b w:val="0"/>
          <w:sz w:val="22"/>
          <w:szCs w:val="22"/>
          <w:u w:val="none"/>
        </w:rPr>
        <w:t>and ground</w:t>
      </w:r>
      <w:r w:rsidR="00DF5CC4">
        <w:rPr>
          <w:rFonts w:asciiTheme="minorHAnsi" w:hAnsiTheme="minorHAnsi"/>
          <w:b w:val="0"/>
          <w:sz w:val="22"/>
          <w:szCs w:val="22"/>
          <w:u w:val="none"/>
        </w:rPr>
        <w:t xml:space="preserve">.  Please note that when hardwiring the unit to an </w:t>
      </w:r>
      <w:r w:rsidR="00DF5CC4">
        <w:rPr>
          <w:rFonts w:asciiTheme="minorHAnsi" w:hAnsiTheme="minorHAnsi"/>
          <w:b w:val="0"/>
          <w:sz w:val="22"/>
          <w:szCs w:val="22"/>
          <w:u w:val="none"/>
        </w:rPr>
        <w:t>appropriate 12v power source and ground</w:t>
      </w:r>
      <w:r w:rsidR="00DF5CC4">
        <w:rPr>
          <w:rFonts w:asciiTheme="minorHAnsi" w:hAnsiTheme="minorHAnsi"/>
          <w:b w:val="0"/>
          <w:sz w:val="22"/>
          <w:szCs w:val="22"/>
          <w:u w:val="none"/>
        </w:rPr>
        <w:t xml:space="preserve">, an appropriately sized inline fuse should be installed </w:t>
      </w:r>
      <w:r w:rsidR="00F9667E">
        <w:rPr>
          <w:rFonts w:asciiTheme="minorHAnsi" w:hAnsiTheme="minorHAnsi"/>
          <w:b w:val="0"/>
          <w:sz w:val="22"/>
          <w:szCs w:val="22"/>
          <w:u w:val="none"/>
        </w:rPr>
        <w:t xml:space="preserve">in order for your </w:t>
      </w:r>
      <w:r w:rsidR="006C59AF">
        <w:rPr>
          <w:rFonts w:asciiTheme="minorHAnsi" w:hAnsiTheme="minorHAnsi"/>
          <w:b w:val="0"/>
          <w:sz w:val="22"/>
          <w:szCs w:val="22"/>
          <w:u w:val="none"/>
        </w:rPr>
        <w:t>Hunter</w:t>
      </w:r>
      <w:r w:rsidR="00C122B3">
        <w:rPr>
          <w:rFonts w:asciiTheme="minorHAnsi" w:hAnsiTheme="minorHAnsi"/>
          <w:b w:val="0"/>
          <w:sz w:val="22"/>
          <w:szCs w:val="22"/>
          <w:u w:val="none"/>
        </w:rPr>
        <w:t xml:space="preserve"> Series Interior Visor Light Bar </w:t>
      </w:r>
      <w:r w:rsidR="00F9667E">
        <w:rPr>
          <w:rFonts w:asciiTheme="minorHAnsi" w:hAnsiTheme="minorHAnsi"/>
          <w:b w:val="0"/>
          <w:sz w:val="22"/>
          <w:szCs w:val="22"/>
          <w:u w:val="none"/>
        </w:rPr>
        <w:t>to function properly.</w:t>
      </w:r>
      <w:r w:rsidR="002C1F72">
        <w:rPr>
          <w:rFonts w:asciiTheme="minorHAnsi" w:hAnsiTheme="minorHAnsi"/>
          <w:b w:val="0"/>
          <w:sz w:val="22"/>
          <w:szCs w:val="22"/>
          <w:u w:val="none"/>
        </w:rPr>
        <w:t xml:space="preserve">  </w:t>
      </w:r>
      <w:r w:rsidR="005D1624" w:rsidRPr="00171039">
        <w:rPr>
          <w:rFonts w:asciiTheme="minorHAnsi" w:hAnsiTheme="minorHAnsi"/>
          <w:b w:val="0"/>
          <w:sz w:val="22"/>
          <w:szCs w:val="22"/>
          <w:u w:val="none"/>
        </w:rPr>
        <w:t xml:space="preserve">Please note that in order to </w:t>
      </w:r>
      <w:r w:rsidR="00171039" w:rsidRPr="00171039">
        <w:rPr>
          <w:rFonts w:asciiTheme="minorHAnsi" w:hAnsiTheme="minorHAnsi"/>
          <w:b w:val="0"/>
          <w:sz w:val="22"/>
          <w:szCs w:val="22"/>
          <w:u w:val="none"/>
        </w:rPr>
        <w:t xml:space="preserve">hard wire your </w:t>
      </w:r>
      <w:r w:rsidR="006C59AF">
        <w:rPr>
          <w:rFonts w:asciiTheme="minorHAnsi" w:hAnsiTheme="minorHAnsi"/>
          <w:b w:val="0"/>
          <w:sz w:val="22"/>
          <w:szCs w:val="22"/>
          <w:u w:val="none"/>
        </w:rPr>
        <w:t>Hunter</w:t>
      </w:r>
      <w:r w:rsidR="00171039" w:rsidRPr="00171039">
        <w:rPr>
          <w:rFonts w:asciiTheme="minorHAnsi" w:hAnsiTheme="minorHAnsi"/>
          <w:b w:val="0"/>
          <w:sz w:val="22"/>
          <w:szCs w:val="22"/>
          <w:u w:val="none"/>
        </w:rPr>
        <w:t xml:space="preserve"> Series Interior Visor Light Bar</w:t>
      </w:r>
      <w:r w:rsidR="00171039" w:rsidRPr="00171039">
        <w:rPr>
          <w:rFonts w:asciiTheme="minorHAnsi" w:hAnsiTheme="minorHAnsi"/>
          <w:b w:val="0"/>
          <w:sz w:val="22"/>
          <w:szCs w:val="22"/>
          <w:u w:val="none"/>
        </w:rPr>
        <w:t>, the existing 12v auxiliary power adapter will be required to be removed.</w:t>
      </w:r>
      <w:r w:rsidR="00EB2A70">
        <w:rPr>
          <w:rFonts w:asciiTheme="minorHAnsi" w:hAnsiTheme="minorHAnsi"/>
          <w:b w:val="0"/>
          <w:sz w:val="22"/>
          <w:szCs w:val="22"/>
          <w:u w:val="none"/>
        </w:rPr>
        <w:t xml:space="preserve">  </w:t>
      </w:r>
    </w:p>
    <w:p w14:paraId="32BE2437" w14:textId="77777777" w:rsidR="00E50B54" w:rsidRDefault="00E50B54">
      <w:pPr>
        <w:rPr>
          <w:rFonts w:asciiTheme="minorHAnsi" w:eastAsia="Minion Pro" w:hAnsiTheme="minorHAnsi" w:cs="Minion Pro"/>
          <w:b/>
          <w:bCs/>
          <w:u w:color="000000"/>
        </w:rPr>
      </w:pPr>
      <w:r>
        <w:rPr>
          <w:rFonts w:asciiTheme="minorHAnsi" w:hAnsiTheme="minorHAnsi"/>
        </w:rPr>
        <w:br w:type="page"/>
      </w:r>
    </w:p>
    <w:p w14:paraId="302A6D82" w14:textId="3AF70D18" w:rsidR="00DF5CC4" w:rsidRDefault="00DF5CC4" w:rsidP="00DF5CC4">
      <w:pPr>
        <w:pStyle w:val="Heading1"/>
        <w:spacing w:before="120" w:after="120" w:line="208" w:lineRule="auto"/>
        <w:ind w:left="0" w:right="0"/>
        <w:rPr>
          <w:rFonts w:asciiTheme="minorHAnsi" w:hAnsiTheme="minorHAnsi"/>
          <w:sz w:val="22"/>
          <w:szCs w:val="22"/>
          <w:u w:val="none"/>
        </w:rPr>
      </w:pPr>
      <w:r>
        <w:rPr>
          <w:rFonts w:asciiTheme="minorHAnsi" w:hAnsiTheme="minorHAnsi"/>
          <w:sz w:val="22"/>
          <w:szCs w:val="22"/>
          <w:u w:val="none"/>
        </w:rPr>
        <w:lastRenderedPageBreak/>
        <w:t xml:space="preserve">Fig. </w:t>
      </w:r>
      <w:r>
        <w:rPr>
          <w:rFonts w:asciiTheme="minorHAnsi" w:hAnsiTheme="minorHAnsi"/>
          <w:sz w:val="22"/>
          <w:szCs w:val="22"/>
          <w:u w:val="none"/>
        </w:rPr>
        <w:t>1</w:t>
      </w:r>
    </w:p>
    <w:p w14:paraId="66B7E8AB" w14:textId="3865DD29" w:rsidR="00DF5CC4" w:rsidRDefault="00DF5CC4" w:rsidP="00DF5CC4">
      <w:pPr>
        <w:pStyle w:val="Heading1"/>
        <w:spacing w:before="0" w:line="208" w:lineRule="auto"/>
        <w:ind w:left="0" w:right="0"/>
        <w:jc w:val="both"/>
        <w:rPr>
          <w:rFonts w:asciiTheme="minorHAnsi" w:hAnsiTheme="minorHAnsi"/>
          <w:sz w:val="22"/>
          <w:szCs w:val="22"/>
          <w:u w:val="none"/>
        </w:rPr>
      </w:pPr>
    </w:p>
    <w:p w14:paraId="36E23D18" w14:textId="673E713E" w:rsidR="00DF5CC4" w:rsidRDefault="00DF5CC4" w:rsidP="00DF5CC4">
      <w:pPr>
        <w:pStyle w:val="Heading1"/>
        <w:spacing w:before="0" w:line="208" w:lineRule="auto"/>
        <w:ind w:left="0" w:right="0"/>
        <w:rPr>
          <w:rFonts w:asciiTheme="minorHAnsi" w:hAnsiTheme="minorHAnsi"/>
          <w:sz w:val="22"/>
          <w:szCs w:val="22"/>
          <w:u w:val="none"/>
        </w:rPr>
      </w:pPr>
      <w:r>
        <w:rPr>
          <w:rFonts w:asciiTheme="minorHAnsi" w:hAnsiTheme="minorHAnsi"/>
          <w:noProof/>
          <w:sz w:val="22"/>
          <w:szCs w:val="22"/>
          <w:u w:val="none"/>
        </w:rPr>
        <w:drawing>
          <wp:inline distT="0" distB="0" distL="0" distR="0" wp14:anchorId="34D0ABF8" wp14:editId="78EAEACB">
            <wp:extent cx="4724702" cy="1587500"/>
            <wp:effectExtent l="0" t="0" r="0" b="0"/>
            <wp:docPr id="31" name="Picture 31"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unter Controls 1.jpg"/>
                    <pic:cNvPicPr/>
                  </pic:nvPicPr>
                  <pic:blipFill>
                    <a:blip r:embed="rId18">
                      <a:extLst>
                        <a:ext uri="{28A0092B-C50C-407E-A947-70E740481C1C}">
                          <a14:useLocalDpi xmlns:a14="http://schemas.microsoft.com/office/drawing/2010/main" val="0"/>
                        </a:ext>
                      </a:extLst>
                    </a:blip>
                    <a:stretch>
                      <a:fillRect/>
                    </a:stretch>
                  </pic:blipFill>
                  <pic:spPr>
                    <a:xfrm>
                      <a:off x="0" y="0"/>
                      <a:ext cx="4729496" cy="1589111"/>
                    </a:xfrm>
                    <a:prstGeom prst="rect">
                      <a:avLst/>
                    </a:prstGeom>
                  </pic:spPr>
                </pic:pic>
              </a:graphicData>
            </a:graphic>
          </wp:inline>
        </w:drawing>
      </w:r>
    </w:p>
    <w:p w14:paraId="2D777EAE" w14:textId="63B0E9C1" w:rsidR="00DF5CC4" w:rsidRDefault="00DF5CC4" w:rsidP="00DF5CC4">
      <w:pPr>
        <w:pStyle w:val="Heading1"/>
        <w:spacing w:before="0" w:line="208" w:lineRule="auto"/>
        <w:ind w:left="0" w:right="0"/>
        <w:jc w:val="left"/>
        <w:rPr>
          <w:rFonts w:asciiTheme="minorHAnsi" w:hAnsiTheme="minorHAnsi"/>
          <w:sz w:val="22"/>
          <w:szCs w:val="22"/>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2783"/>
      </w:tblGrid>
      <w:tr w:rsidR="00DF5CC4" w:rsidRPr="00C122B3" w14:paraId="71FCC9D8" w14:textId="77777777" w:rsidTr="00DF5CC4">
        <w:trPr>
          <w:jc w:val="center"/>
        </w:trPr>
        <w:tc>
          <w:tcPr>
            <w:tcW w:w="4770" w:type="dxa"/>
            <w:gridSpan w:val="2"/>
            <w:tcBorders>
              <w:top w:val="single" w:sz="6" w:space="0" w:color="auto"/>
              <w:left w:val="single" w:sz="6" w:space="0" w:color="auto"/>
              <w:right w:val="single" w:sz="6" w:space="0" w:color="auto"/>
            </w:tcBorders>
          </w:tcPr>
          <w:p w14:paraId="669EB7C4" w14:textId="77777777" w:rsidR="00DF5CC4" w:rsidRPr="00C122B3" w:rsidRDefault="00DF5CC4" w:rsidP="00231901">
            <w:pPr>
              <w:pStyle w:val="Heading1"/>
              <w:spacing w:before="120" w:after="120" w:line="208" w:lineRule="auto"/>
              <w:ind w:left="0" w:right="0"/>
              <w:rPr>
                <w:rFonts w:asciiTheme="minorHAnsi" w:hAnsiTheme="minorHAnsi"/>
                <w:sz w:val="22"/>
                <w:szCs w:val="22"/>
              </w:rPr>
            </w:pPr>
            <w:r>
              <w:rPr>
                <w:rFonts w:asciiTheme="minorHAnsi" w:hAnsiTheme="minorHAnsi"/>
                <w:sz w:val="22"/>
                <w:szCs w:val="22"/>
              </w:rPr>
              <w:t>Hunter</w:t>
            </w:r>
            <w:r w:rsidRPr="00C122B3">
              <w:rPr>
                <w:rFonts w:asciiTheme="minorHAnsi" w:hAnsiTheme="minorHAnsi"/>
                <w:sz w:val="22"/>
                <w:szCs w:val="22"/>
              </w:rPr>
              <w:t xml:space="preserve"> Series Interior Visor Light Bar</w:t>
            </w:r>
          </w:p>
        </w:tc>
      </w:tr>
      <w:tr w:rsidR="00DF5CC4" w:rsidRPr="00F9667E" w14:paraId="259862B1" w14:textId="77777777" w:rsidTr="00DF5CC4">
        <w:trPr>
          <w:trHeight w:val="567"/>
          <w:jc w:val="center"/>
        </w:trPr>
        <w:tc>
          <w:tcPr>
            <w:tcW w:w="1987" w:type="dxa"/>
            <w:tcBorders>
              <w:left w:val="single" w:sz="6" w:space="0" w:color="auto"/>
            </w:tcBorders>
          </w:tcPr>
          <w:p w14:paraId="09D8560A" w14:textId="1792B173" w:rsidR="00DF5CC4" w:rsidRPr="00F9667E" w:rsidRDefault="00DF5CC4" w:rsidP="00DF5CC4">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Button</w:t>
            </w:r>
          </w:p>
        </w:tc>
        <w:tc>
          <w:tcPr>
            <w:tcW w:w="2783" w:type="dxa"/>
            <w:tcBorders>
              <w:right w:val="single" w:sz="6" w:space="0" w:color="auto"/>
            </w:tcBorders>
          </w:tcPr>
          <w:p w14:paraId="4B6966C5" w14:textId="77777777" w:rsidR="00DF5CC4" w:rsidRPr="00F9667E" w:rsidRDefault="00DF5CC4" w:rsidP="00DF5CC4">
            <w:pPr>
              <w:pStyle w:val="Heading1"/>
              <w:spacing w:before="120" w:after="120" w:line="208" w:lineRule="auto"/>
              <w:ind w:left="0" w:right="0"/>
              <w:rPr>
                <w:rFonts w:asciiTheme="minorHAnsi" w:hAnsiTheme="minorHAnsi"/>
                <w:b w:val="0"/>
                <w:sz w:val="22"/>
                <w:szCs w:val="22"/>
              </w:rPr>
            </w:pPr>
            <w:r w:rsidRPr="00F9667E">
              <w:rPr>
                <w:rFonts w:asciiTheme="minorHAnsi" w:hAnsiTheme="minorHAnsi"/>
                <w:b w:val="0"/>
                <w:sz w:val="22"/>
                <w:szCs w:val="22"/>
              </w:rPr>
              <w:t>Function</w:t>
            </w:r>
          </w:p>
        </w:tc>
      </w:tr>
      <w:tr w:rsidR="00DF5CC4" w14:paraId="22DEF546" w14:textId="77777777" w:rsidTr="00D72EAA">
        <w:trPr>
          <w:jc w:val="center"/>
        </w:trPr>
        <w:tc>
          <w:tcPr>
            <w:tcW w:w="1987" w:type="dxa"/>
            <w:tcBorders>
              <w:left w:val="single" w:sz="6" w:space="0" w:color="auto"/>
            </w:tcBorders>
            <w:vAlign w:val="center"/>
          </w:tcPr>
          <w:p w14:paraId="6ABEF735" w14:textId="2DEBE093" w:rsidR="00DF5CC4" w:rsidRPr="00D72EAA" w:rsidRDefault="0069347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4D133255" wp14:editId="5B508479">
                  <wp:extent cx="585216" cy="58435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901" t="1712" r="3643" b="4220"/>
                          <a:stretch/>
                        </pic:blipFill>
                        <pic:spPr bwMode="auto">
                          <a:xfrm>
                            <a:off x="0" y="0"/>
                            <a:ext cx="585216" cy="584355"/>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right w:val="single" w:sz="6" w:space="0" w:color="auto"/>
            </w:tcBorders>
            <w:vAlign w:val="center"/>
          </w:tcPr>
          <w:p w14:paraId="3B1EACFB" w14:textId="77777777"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Flash Pattern Selection</w:t>
            </w:r>
          </w:p>
        </w:tc>
      </w:tr>
      <w:tr w:rsidR="00DF5CC4" w:rsidRPr="00D37111" w14:paraId="2F9A2877" w14:textId="77777777" w:rsidTr="00D72EAA">
        <w:trPr>
          <w:jc w:val="center"/>
        </w:trPr>
        <w:tc>
          <w:tcPr>
            <w:tcW w:w="1987" w:type="dxa"/>
            <w:tcBorders>
              <w:left w:val="single" w:sz="6" w:space="0" w:color="auto"/>
            </w:tcBorders>
            <w:vAlign w:val="center"/>
          </w:tcPr>
          <w:p w14:paraId="06B95DAC" w14:textId="36AE08E8" w:rsidR="00DF5CC4" w:rsidRPr="00D72EAA" w:rsidRDefault="00D72EAA"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4D987064" wp14:editId="285636E1">
                  <wp:extent cx="584448" cy="5852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421" r="4318" b="5692"/>
                          <a:stretch/>
                        </pic:blipFill>
                        <pic:spPr bwMode="auto">
                          <a:xfrm>
                            <a:off x="0" y="0"/>
                            <a:ext cx="584448" cy="585216"/>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right w:val="single" w:sz="6" w:space="0" w:color="auto"/>
            </w:tcBorders>
            <w:vAlign w:val="center"/>
          </w:tcPr>
          <w:p w14:paraId="104B30C1" w14:textId="77777777"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Right to Left Arrow</w:t>
            </w:r>
          </w:p>
        </w:tc>
      </w:tr>
      <w:tr w:rsidR="00DF5CC4" w:rsidRPr="00D37111" w14:paraId="54CA84DE" w14:textId="77777777" w:rsidTr="00D72EAA">
        <w:trPr>
          <w:jc w:val="center"/>
        </w:trPr>
        <w:tc>
          <w:tcPr>
            <w:tcW w:w="1987" w:type="dxa"/>
            <w:tcBorders>
              <w:left w:val="single" w:sz="6" w:space="0" w:color="auto"/>
            </w:tcBorders>
            <w:vAlign w:val="center"/>
          </w:tcPr>
          <w:p w14:paraId="480F3A97" w14:textId="7B795866" w:rsidR="00DF5CC4" w:rsidRPr="00D72EAA" w:rsidRDefault="0069347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794137F6" wp14:editId="171B23E0">
                  <wp:extent cx="584183" cy="585216"/>
                  <wp:effectExtent l="0" t="0" r="635"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6698" r="1207" b="5491"/>
                          <a:stretch/>
                        </pic:blipFill>
                        <pic:spPr bwMode="auto">
                          <a:xfrm>
                            <a:off x="0" y="0"/>
                            <a:ext cx="584183" cy="585216"/>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right w:val="single" w:sz="6" w:space="0" w:color="auto"/>
            </w:tcBorders>
            <w:vAlign w:val="center"/>
          </w:tcPr>
          <w:p w14:paraId="0B479923" w14:textId="77777777"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Left to Right Arrow</w:t>
            </w:r>
          </w:p>
        </w:tc>
      </w:tr>
      <w:tr w:rsidR="00DF5CC4" w:rsidRPr="00D37111" w14:paraId="0AE5716D" w14:textId="77777777" w:rsidTr="00D72EAA">
        <w:trPr>
          <w:jc w:val="center"/>
        </w:trPr>
        <w:tc>
          <w:tcPr>
            <w:tcW w:w="1987" w:type="dxa"/>
            <w:tcBorders>
              <w:left w:val="single" w:sz="6" w:space="0" w:color="auto"/>
            </w:tcBorders>
            <w:vAlign w:val="center"/>
          </w:tcPr>
          <w:p w14:paraId="7858187B" w14:textId="168FEF2A" w:rsidR="00DF5CC4" w:rsidRPr="00D72EAA" w:rsidRDefault="00D72EAA"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2AD6DB07" wp14:editId="1FA26F10">
                  <wp:extent cx="584448" cy="58521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784" t="-1" r="2028" b="3686"/>
                          <a:stretch/>
                        </pic:blipFill>
                        <pic:spPr bwMode="auto">
                          <a:xfrm>
                            <a:off x="0" y="0"/>
                            <a:ext cx="584448" cy="585216"/>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right w:val="single" w:sz="6" w:space="0" w:color="auto"/>
            </w:tcBorders>
            <w:vAlign w:val="center"/>
          </w:tcPr>
          <w:p w14:paraId="66B00CBC" w14:textId="77777777"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Center Out Arrow</w:t>
            </w:r>
          </w:p>
        </w:tc>
      </w:tr>
      <w:tr w:rsidR="00DF5CC4" w:rsidRPr="00D37111" w14:paraId="68FC67A5" w14:textId="77777777" w:rsidTr="00D72EAA">
        <w:trPr>
          <w:jc w:val="center"/>
        </w:trPr>
        <w:tc>
          <w:tcPr>
            <w:tcW w:w="1987" w:type="dxa"/>
            <w:tcBorders>
              <w:left w:val="single" w:sz="6" w:space="0" w:color="auto"/>
            </w:tcBorders>
            <w:vAlign w:val="center"/>
          </w:tcPr>
          <w:p w14:paraId="1F3D1002" w14:textId="756FAFC2" w:rsidR="00DF5CC4" w:rsidRPr="00D72EAA" w:rsidRDefault="0069347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58B6AEAB" wp14:editId="303742CA">
                  <wp:extent cx="585216" cy="585216"/>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52" t="1" r="4558" b="1192"/>
                          <a:stretch/>
                        </pic:blipFill>
                        <pic:spPr bwMode="auto">
                          <a:xfrm>
                            <a:off x="0" y="0"/>
                            <a:ext cx="585216" cy="585216"/>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right w:val="single" w:sz="6" w:space="0" w:color="auto"/>
            </w:tcBorders>
            <w:vAlign w:val="center"/>
          </w:tcPr>
          <w:p w14:paraId="049BD30E" w14:textId="5DD0BE14"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Take Down (If Equipped)</w:t>
            </w:r>
          </w:p>
        </w:tc>
      </w:tr>
      <w:tr w:rsidR="00DF5CC4" w:rsidRPr="00D37111" w14:paraId="7AB6DC50" w14:textId="77777777" w:rsidTr="00D72EAA">
        <w:trPr>
          <w:jc w:val="center"/>
        </w:trPr>
        <w:tc>
          <w:tcPr>
            <w:tcW w:w="1987" w:type="dxa"/>
            <w:tcBorders>
              <w:left w:val="single" w:sz="6" w:space="0" w:color="auto"/>
              <w:bottom w:val="single" w:sz="6" w:space="0" w:color="auto"/>
            </w:tcBorders>
            <w:vAlign w:val="center"/>
          </w:tcPr>
          <w:p w14:paraId="3DC9647E" w14:textId="2C266B8C" w:rsidR="00DF5CC4" w:rsidRPr="00D72EAA" w:rsidRDefault="0069347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drawing>
                <wp:inline distT="0" distB="0" distL="0" distR="0" wp14:anchorId="58F89474" wp14:editId="14872E7D">
                  <wp:extent cx="584130" cy="584791"/>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572" r="3145" b="1924"/>
                          <a:stretch/>
                        </pic:blipFill>
                        <pic:spPr bwMode="auto">
                          <a:xfrm>
                            <a:off x="0" y="0"/>
                            <a:ext cx="584752" cy="585414"/>
                          </a:xfrm>
                          <a:prstGeom prst="rect">
                            <a:avLst/>
                          </a:prstGeom>
                          <a:ln>
                            <a:noFill/>
                          </a:ln>
                          <a:extLst>
                            <a:ext uri="{53640926-AAD7-44D8-BBD7-CCE9431645EC}">
                              <a14:shadowObscured xmlns:a14="http://schemas.microsoft.com/office/drawing/2010/main"/>
                            </a:ext>
                          </a:extLst>
                        </pic:spPr>
                      </pic:pic>
                    </a:graphicData>
                  </a:graphic>
                </wp:inline>
              </w:drawing>
            </w:r>
          </w:p>
        </w:tc>
        <w:tc>
          <w:tcPr>
            <w:tcW w:w="2783" w:type="dxa"/>
            <w:tcBorders>
              <w:bottom w:val="single" w:sz="6" w:space="0" w:color="auto"/>
              <w:right w:val="single" w:sz="6" w:space="0" w:color="auto"/>
            </w:tcBorders>
            <w:vAlign w:val="center"/>
          </w:tcPr>
          <w:p w14:paraId="72211887" w14:textId="5D708575" w:rsidR="00DF5CC4" w:rsidRPr="00D72EAA" w:rsidRDefault="00DF5CC4" w:rsidP="00D72EAA">
            <w:pPr>
              <w:pStyle w:val="Heading1"/>
              <w:spacing w:before="60" w:after="60" w:line="208" w:lineRule="auto"/>
              <w:ind w:left="0" w:right="0"/>
              <w:rPr>
                <w:rFonts w:asciiTheme="minorHAnsi" w:hAnsiTheme="minorHAnsi"/>
                <w:b w:val="0"/>
                <w:sz w:val="22"/>
                <w:szCs w:val="22"/>
                <w:u w:val="none"/>
              </w:rPr>
            </w:pPr>
            <w:r w:rsidRPr="00D72EAA">
              <w:rPr>
                <w:rFonts w:asciiTheme="minorHAnsi" w:hAnsiTheme="minorHAnsi"/>
                <w:b w:val="0"/>
                <w:sz w:val="22"/>
                <w:szCs w:val="22"/>
                <w:u w:val="none"/>
              </w:rPr>
              <w:t>Power On/Off</w:t>
            </w:r>
          </w:p>
        </w:tc>
      </w:tr>
    </w:tbl>
    <w:p w14:paraId="15047239" w14:textId="77777777" w:rsidR="00DF5CC4" w:rsidRDefault="00DF5CC4" w:rsidP="00DF5CC4">
      <w:pPr>
        <w:pStyle w:val="Heading1"/>
        <w:spacing w:before="0" w:line="208" w:lineRule="auto"/>
        <w:ind w:left="0" w:right="0"/>
        <w:rPr>
          <w:rFonts w:asciiTheme="minorHAnsi" w:hAnsiTheme="minorHAnsi"/>
          <w:sz w:val="22"/>
          <w:szCs w:val="22"/>
          <w:u w:val="none"/>
        </w:rPr>
      </w:pPr>
    </w:p>
    <w:p w14:paraId="4C43057B" w14:textId="77777777" w:rsidR="00DF5CC4" w:rsidRDefault="00DF5CC4" w:rsidP="00DF5CC4">
      <w:pPr>
        <w:pStyle w:val="Heading1"/>
        <w:spacing w:before="0" w:line="208" w:lineRule="auto"/>
        <w:ind w:left="0" w:right="0"/>
        <w:jc w:val="both"/>
        <w:rPr>
          <w:rFonts w:asciiTheme="minorHAnsi" w:hAnsiTheme="minorHAnsi"/>
          <w:sz w:val="22"/>
          <w:szCs w:val="22"/>
          <w:u w:val="none"/>
        </w:rPr>
      </w:pPr>
    </w:p>
    <w:p w14:paraId="3202D413" w14:textId="471A35D4" w:rsidR="00F9667E" w:rsidRPr="00F9667E" w:rsidRDefault="00F9667E" w:rsidP="00DF5CC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All wiring connections should be secured using appropriate automotive connectors or through the use of </w:t>
      </w:r>
      <w:r w:rsidRPr="00F9667E">
        <w:rPr>
          <w:rFonts w:asciiTheme="minorHAnsi" w:hAnsiTheme="minorHAnsi"/>
          <w:b w:val="0"/>
          <w:sz w:val="22"/>
          <w:szCs w:val="22"/>
          <w:u w:val="none"/>
        </w:rPr>
        <w:t>soldered connections</w:t>
      </w:r>
      <w:r>
        <w:rPr>
          <w:rFonts w:asciiTheme="minorHAnsi" w:hAnsiTheme="minorHAnsi"/>
          <w:b w:val="0"/>
          <w:sz w:val="22"/>
          <w:szCs w:val="22"/>
          <w:u w:val="none"/>
        </w:rPr>
        <w:t>.  All connections should</w:t>
      </w:r>
      <w:r w:rsidRPr="00F9667E">
        <w:rPr>
          <w:rFonts w:asciiTheme="minorHAnsi" w:hAnsiTheme="minorHAnsi"/>
          <w:b w:val="0"/>
          <w:sz w:val="22"/>
          <w:szCs w:val="22"/>
          <w:u w:val="none"/>
        </w:rPr>
        <w:t xml:space="preserve"> </w:t>
      </w:r>
      <w:r>
        <w:rPr>
          <w:rFonts w:asciiTheme="minorHAnsi" w:hAnsiTheme="minorHAnsi"/>
          <w:b w:val="0"/>
          <w:sz w:val="22"/>
          <w:szCs w:val="22"/>
          <w:u w:val="none"/>
        </w:rPr>
        <w:t>be protected by using</w:t>
      </w:r>
      <w:r w:rsidRPr="00F9667E">
        <w:rPr>
          <w:rFonts w:asciiTheme="minorHAnsi" w:hAnsiTheme="minorHAnsi"/>
          <w:b w:val="0"/>
          <w:sz w:val="22"/>
          <w:szCs w:val="22"/>
          <w:u w:val="none"/>
        </w:rPr>
        <w:t xml:space="preserve"> heat shrink</w:t>
      </w:r>
      <w:r>
        <w:rPr>
          <w:rFonts w:asciiTheme="minorHAnsi" w:hAnsiTheme="minorHAnsi"/>
          <w:b w:val="0"/>
          <w:sz w:val="22"/>
          <w:szCs w:val="22"/>
          <w:u w:val="none"/>
        </w:rPr>
        <w:t xml:space="preserve"> wire wrap in order to </w:t>
      </w:r>
      <w:r w:rsidRPr="00F9667E">
        <w:rPr>
          <w:rFonts w:asciiTheme="minorHAnsi" w:hAnsiTheme="minorHAnsi"/>
          <w:b w:val="0"/>
          <w:sz w:val="22"/>
          <w:szCs w:val="22"/>
          <w:u w:val="none"/>
        </w:rPr>
        <w:t>protect the connection. Special attention should be given to the location and method of splicing wires to make electrical connections to protect these splices from lost power or connection and corrosion.</w:t>
      </w:r>
    </w:p>
    <w:p w14:paraId="1A1245F0" w14:textId="77777777" w:rsidR="007E4C81" w:rsidRDefault="007E4C81" w:rsidP="00F9667E">
      <w:pPr>
        <w:pStyle w:val="Heading1"/>
        <w:spacing w:before="120" w:after="120" w:line="208" w:lineRule="auto"/>
        <w:ind w:left="0" w:right="0"/>
        <w:jc w:val="both"/>
        <w:rPr>
          <w:rFonts w:asciiTheme="minorHAnsi" w:hAnsiTheme="minorHAnsi"/>
          <w:sz w:val="22"/>
          <w:szCs w:val="22"/>
          <w:u w:val="none"/>
        </w:rPr>
      </w:pPr>
    </w:p>
    <w:p w14:paraId="57A58CFA" w14:textId="7DCD5879" w:rsidR="00246C11" w:rsidRPr="00D509B8" w:rsidRDefault="008C2969" w:rsidP="00F9667E">
      <w:pPr>
        <w:tabs>
          <w:tab w:val="left" w:pos="990"/>
          <w:tab w:val="left" w:pos="1080"/>
        </w:tabs>
        <w:spacing w:before="120" w:after="120"/>
        <w:jc w:val="both"/>
        <w:rPr>
          <w:rFonts w:asciiTheme="minorHAnsi" w:hAnsiTheme="minorHAnsi"/>
        </w:rPr>
      </w:pPr>
      <w:r w:rsidRPr="00D509B8">
        <w:rPr>
          <w:rFonts w:asciiTheme="minorHAnsi" w:hAnsiTheme="minorHAnsi"/>
        </w:rPr>
        <w:lastRenderedPageBreak/>
        <w:t xml:space="preserve">The </w:t>
      </w:r>
      <w:r w:rsidR="006C59AF">
        <w:rPr>
          <w:rFonts w:asciiTheme="minorHAnsi" w:hAnsiTheme="minorHAnsi"/>
        </w:rPr>
        <w:t>Hunter</w:t>
      </w:r>
      <w:r w:rsidR="00D509B8" w:rsidRPr="00D509B8">
        <w:rPr>
          <w:rFonts w:asciiTheme="minorHAnsi" w:hAnsiTheme="minorHAnsi"/>
        </w:rPr>
        <w:t xml:space="preserve"> Series Interior Visor Light Bar </w:t>
      </w:r>
      <w:r w:rsidR="00D12B5F">
        <w:rPr>
          <w:rFonts w:asciiTheme="minorHAnsi" w:hAnsiTheme="minorHAnsi"/>
        </w:rPr>
        <w:t>has</w:t>
      </w:r>
      <w:r w:rsidRPr="00D509B8">
        <w:rPr>
          <w:rFonts w:asciiTheme="minorHAnsi" w:hAnsiTheme="minorHAnsi"/>
        </w:rPr>
        <w:t xml:space="preserve"> been designed for ease of installation and adaptation for use with multiple units with limited additional wiring</w:t>
      </w:r>
      <w:r w:rsidR="007E4C81" w:rsidRPr="00D509B8">
        <w:rPr>
          <w:rFonts w:asciiTheme="minorHAnsi" w:hAnsiTheme="minorHAnsi"/>
        </w:rPr>
        <w:t>.</w:t>
      </w:r>
      <w:r w:rsidR="00246C11" w:rsidRPr="00D509B8">
        <w:rPr>
          <w:rFonts w:asciiTheme="minorHAnsi" w:hAnsiTheme="minorHAnsi"/>
        </w:rPr>
        <w:t xml:space="preserve">  This design allows for installers to create seamless integration of these units for your specific application.</w:t>
      </w:r>
    </w:p>
    <w:p w14:paraId="53C2B5A1" w14:textId="4E2E8651" w:rsidR="00652EFF" w:rsidRDefault="00246C11" w:rsidP="00652EFF">
      <w:pPr>
        <w:pStyle w:val="Heading1"/>
        <w:spacing w:before="0" w:line="208" w:lineRule="auto"/>
        <w:ind w:left="0" w:right="0"/>
        <w:rPr>
          <w:rFonts w:asciiTheme="minorHAnsi" w:hAnsiTheme="minorHAnsi"/>
          <w:sz w:val="22"/>
          <w:szCs w:val="22"/>
          <w:u w:val="none"/>
        </w:rPr>
      </w:pPr>
      <w:r>
        <w:rPr>
          <w:rFonts w:asciiTheme="minorHAnsi" w:hAnsiTheme="minorHAnsi"/>
        </w:rPr>
        <w:br w:type="page"/>
      </w:r>
      <w:r w:rsidR="00652EFF">
        <w:rPr>
          <w:rFonts w:asciiTheme="minorHAnsi" w:hAnsiTheme="minorHAnsi"/>
          <w:sz w:val="22"/>
          <w:szCs w:val="22"/>
          <w:u w:val="none"/>
        </w:rPr>
        <w:lastRenderedPageBreak/>
        <w:t>Installing</w:t>
      </w:r>
      <w:r w:rsidR="00652EFF">
        <w:rPr>
          <w:rFonts w:asciiTheme="minorHAnsi" w:hAnsiTheme="minorHAnsi"/>
          <w:sz w:val="22"/>
          <w:szCs w:val="22"/>
          <w:u w:val="none"/>
        </w:rPr>
        <w:t xml:space="preserve"> </w:t>
      </w:r>
      <w:r w:rsidR="00652EFF" w:rsidRPr="00652EFF">
        <w:rPr>
          <w:rFonts w:asciiTheme="minorHAnsi" w:hAnsiTheme="minorHAnsi"/>
          <w:sz w:val="22"/>
          <w:szCs w:val="22"/>
          <w:u w:val="none"/>
        </w:rPr>
        <w:t xml:space="preserve">the </w:t>
      </w:r>
      <w:r w:rsidR="006C59AF">
        <w:rPr>
          <w:rFonts w:asciiTheme="minorHAnsi" w:hAnsiTheme="minorHAnsi"/>
          <w:sz w:val="22"/>
          <w:szCs w:val="22"/>
          <w:u w:val="none"/>
        </w:rPr>
        <w:t>Hunter</w:t>
      </w:r>
      <w:r w:rsidR="00652EFF" w:rsidRPr="00652EFF">
        <w:rPr>
          <w:rFonts w:asciiTheme="minorHAnsi" w:hAnsiTheme="minorHAnsi"/>
          <w:sz w:val="22"/>
          <w:szCs w:val="22"/>
          <w:u w:val="none"/>
        </w:rPr>
        <w:t xml:space="preserve"> Series Interior Visor Light Bar</w:t>
      </w:r>
    </w:p>
    <w:p w14:paraId="6FBEBEB2" w14:textId="77777777" w:rsidR="00652EFF" w:rsidRDefault="00652EFF" w:rsidP="00652EFF">
      <w:pPr>
        <w:pStyle w:val="Heading1"/>
        <w:spacing w:before="0" w:line="208" w:lineRule="auto"/>
        <w:ind w:left="0" w:right="0"/>
        <w:jc w:val="left"/>
        <w:rPr>
          <w:rFonts w:asciiTheme="minorHAnsi" w:hAnsiTheme="minorHAnsi"/>
          <w:b w:val="0"/>
          <w:sz w:val="22"/>
          <w:szCs w:val="22"/>
          <w:u w:val="none"/>
        </w:rPr>
      </w:pPr>
    </w:p>
    <w:p w14:paraId="6E1BA181" w14:textId="5CDDD081" w:rsidR="00652EFF" w:rsidRDefault="00652EFF" w:rsidP="00D12B5F">
      <w:pPr>
        <w:jc w:val="both"/>
        <w:rPr>
          <w:rFonts w:asciiTheme="minorHAnsi" w:hAnsiTheme="minorHAnsi"/>
        </w:rPr>
      </w:pPr>
      <w:r>
        <w:rPr>
          <w:rFonts w:asciiTheme="minorHAnsi" w:hAnsiTheme="minorHAnsi"/>
        </w:rPr>
        <w:t xml:space="preserve">The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is designed to be mounted within the vehicle using the existing </w:t>
      </w:r>
      <w:r w:rsidR="00B61071">
        <w:rPr>
          <w:rFonts w:asciiTheme="minorHAnsi" w:hAnsiTheme="minorHAnsi"/>
        </w:rPr>
        <w:t xml:space="preserve">sun </w:t>
      </w:r>
      <w:r w:rsidR="00010391">
        <w:rPr>
          <w:rFonts w:asciiTheme="minorHAnsi" w:hAnsiTheme="minorHAnsi"/>
        </w:rPr>
        <w:t xml:space="preserve">visor mounting hardware included in your vehicle.  The provided variety of installation brackets allows for the customization of installation to meet various vehicle configurations and can be adapted to meet the exact specifications of the existing vehicle </w:t>
      </w:r>
      <w:r w:rsidR="00B61071">
        <w:rPr>
          <w:rFonts w:asciiTheme="minorHAnsi" w:hAnsiTheme="minorHAnsi"/>
        </w:rPr>
        <w:t xml:space="preserve">sun </w:t>
      </w:r>
      <w:r w:rsidR="00010391">
        <w:rPr>
          <w:rFonts w:asciiTheme="minorHAnsi" w:hAnsiTheme="minorHAnsi"/>
        </w:rPr>
        <w:t>visor mounting hardware.</w:t>
      </w:r>
    </w:p>
    <w:p w14:paraId="37032A9A" w14:textId="0F862CA4" w:rsidR="00010391" w:rsidRDefault="00010391" w:rsidP="00D12B5F">
      <w:pPr>
        <w:jc w:val="both"/>
        <w:rPr>
          <w:rFonts w:asciiTheme="minorHAnsi" w:hAnsiTheme="minorHAnsi"/>
        </w:rPr>
      </w:pPr>
    </w:p>
    <w:p w14:paraId="296B4920" w14:textId="1C980C35" w:rsidR="00010391" w:rsidRDefault="00B61071" w:rsidP="00D12B5F">
      <w:pPr>
        <w:pStyle w:val="ListParagraph"/>
        <w:numPr>
          <w:ilvl w:val="0"/>
          <w:numId w:val="9"/>
        </w:numPr>
        <w:jc w:val="both"/>
        <w:rPr>
          <w:rFonts w:asciiTheme="minorHAnsi" w:hAnsiTheme="minorHAnsi"/>
        </w:rPr>
      </w:pPr>
      <w:r w:rsidRPr="00B61071">
        <w:rPr>
          <w:rFonts w:asciiTheme="minorHAnsi" w:hAnsiTheme="minorHAnsi"/>
        </w:rPr>
        <w:t xml:space="preserve">To install your </w:t>
      </w:r>
      <w:r w:rsidR="006C59AF">
        <w:rPr>
          <w:rFonts w:asciiTheme="minorHAnsi" w:hAnsiTheme="minorHAnsi"/>
        </w:rPr>
        <w:t>Hunter</w:t>
      </w:r>
      <w:r w:rsidRPr="00B61071">
        <w:rPr>
          <w:rFonts w:asciiTheme="minorHAnsi" w:hAnsiTheme="minorHAnsi"/>
        </w:rPr>
        <w:t xml:space="preserve"> Series Interior Visor Light Bar</w:t>
      </w:r>
      <w:r w:rsidRPr="00B61071">
        <w:rPr>
          <w:rFonts w:asciiTheme="minorHAnsi" w:hAnsiTheme="minorHAnsi"/>
        </w:rPr>
        <w:t xml:space="preserve">, first identify the existing sun visor mounting </w:t>
      </w:r>
      <w:r w:rsidR="009A5483">
        <w:rPr>
          <w:rFonts w:asciiTheme="minorHAnsi" w:hAnsiTheme="minorHAnsi"/>
        </w:rPr>
        <w:t>points</w:t>
      </w:r>
      <w:r>
        <w:rPr>
          <w:rFonts w:asciiTheme="minorHAnsi" w:hAnsiTheme="minorHAnsi"/>
        </w:rPr>
        <w:t xml:space="preserve">, which will serve as your vehicle mounting points.  </w:t>
      </w:r>
    </w:p>
    <w:p w14:paraId="34755098" w14:textId="4043AC40" w:rsidR="00B61071" w:rsidRDefault="00B61071" w:rsidP="00D12B5F">
      <w:pPr>
        <w:pStyle w:val="ListParagraph"/>
        <w:numPr>
          <w:ilvl w:val="0"/>
          <w:numId w:val="9"/>
        </w:numPr>
        <w:jc w:val="both"/>
        <w:rPr>
          <w:rFonts w:asciiTheme="minorHAnsi" w:hAnsiTheme="minorHAnsi"/>
        </w:rPr>
      </w:pPr>
      <w:r>
        <w:rPr>
          <w:rFonts w:asciiTheme="minorHAnsi" w:hAnsiTheme="minorHAnsi"/>
        </w:rPr>
        <w:t xml:space="preserve">Using the provided mounting brackets identify those that will provide the most secure mounting within your vehicle given the configuration of your existing sun visor mounting </w:t>
      </w:r>
      <w:r w:rsidR="009A5483">
        <w:rPr>
          <w:rFonts w:asciiTheme="minorHAnsi" w:hAnsiTheme="minorHAnsi"/>
        </w:rPr>
        <w:t>points</w:t>
      </w:r>
      <w:r>
        <w:rPr>
          <w:rFonts w:asciiTheme="minorHAnsi" w:hAnsiTheme="minorHAnsi"/>
        </w:rPr>
        <w:t>.</w:t>
      </w:r>
    </w:p>
    <w:p w14:paraId="711A5BAB" w14:textId="600A5180" w:rsidR="00B61071" w:rsidRDefault="009A5483" w:rsidP="00D12B5F">
      <w:pPr>
        <w:pStyle w:val="ListParagraph"/>
        <w:numPr>
          <w:ilvl w:val="0"/>
          <w:numId w:val="9"/>
        </w:numPr>
        <w:jc w:val="both"/>
        <w:rPr>
          <w:rFonts w:asciiTheme="minorHAnsi" w:hAnsiTheme="minorHAnsi"/>
        </w:rPr>
      </w:pPr>
      <w:r>
        <w:rPr>
          <w:rFonts w:asciiTheme="minorHAnsi" w:hAnsiTheme="minorHAnsi"/>
        </w:rPr>
        <w:t xml:space="preserve">Loosening the existing sun visor mounting hardware will assist in placing the mounting brackets around the sun visor mounting </w:t>
      </w:r>
      <w:proofErr w:type="gramStart"/>
      <w:r>
        <w:rPr>
          <w:rFonts w:asciiTheme="minorHAnsi" w:hAnsiTheme="minorHAnsi"/>
        </w:rPr>
        <w:t>points, and</w:t>
      </w:r>
      <w:proofErr w:type="gramEnd"/>
      <w:r>
        <w:rPr>
          <w:rFonts w:asciiTheme="minorHAnsi" w:hAnsiTheme="minorHAnsi"/>
        </w:rPr>
        <w:t xml:space="preserve"> slide the mounting brackets between the headliner in your vehicle and the mounting existing sun visor points.  In order to access the existing sun visor mounting points</w:t>
      </w:r>
      <w:r w:rsidR="00C50DD2">
        <w:rPr>
          <w:rFonts w:asciiTheme="minorHAnsi" w:hAnsiTheme="minorHAnsi"/>
        </w:rPr>
        <w:t xml:space="preserve"> hardware, there may be removable clips that are required to be removed as part of this step in the installation process.</w:t>
      </w:r>
    </w:p>
    <w:p w14:paraId="06E58FB8" w14:textId="034D2DFC" w:rsidR="00C50DD2" w:rsidRDefault="00C50DD2" w:rsidP="00D12B5F">
      <w:pPr>
        <w:pStyle w:val="ListParagraph"/>
        <w:numPr>
          <w:ilvl w:val="0"/>
          <w:numId w:val="9"/>
        </w:numPr>
        <w:jc w:val="both"/>
        <w:rPr>
          <w:rFonts w:asciiTheme="minorHAnsi" w:hAnsiTheme="minorHAnsi"/>
        </w:rPr>
      </w:pPr>
      <w:r>
        <w:rPr>
          <w:rFonts w:asciiTheme="minorHAnsi" w:hAnsiTheme="minorHAnsi"/>
        </w:rPr>
        <w:t xml:space="preserve">When installing your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it is important to keep the light head units as far towards the outside of your vehicle as possible, so as not to obstruct the operation and use of the rear view mirror.  Mounting your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too close to the center of your windshield may cause your rear view mirror to become obstructed, which poses an immediate safety hazard </w:t>
      </w:r>
      <w:r w:rsidR="00765186">
        <w:rPr>
          <w:rFonts w:asciiTheme="minorHAnsi" w:hAnsiTheme="minorHAnsi"/>
        </w:rPr>
        <w:t xml:space="preserve">and should </w:t>
      </w:r>
      <w:r w:rsidR="00765186" w:rsidRPr="00765186">
        <w:rPr>
          <w:rFonts w:asciiTheme="minorHAnsi" w:hAnsiTheme="minorHAnsi"/>
          <w:b/>
          <w:u w:val="single"/>
        </w:rPr>
        <w:t>NEVER</w:t>
      </w:r>
      <w:r w:rsidR="00765186">
        <w:rPr>
          <w:rFonts w:asciiTheme="minorHAnsi" w:hAnsiTheme="minorHAnsi"/>
        </w:rPr>
        <w:t xml:space="preserve"> be done.</w:t>
      </w:r>
    </w:p>
    <w:p w14:paraId="3EE696DD" w14:textId="37DB6E5B" w:rsidR="007D2402" w:rsidRDefault="00765186" w:rsidP="00D12B5F">
      <w:pPr>
        <w:pStyle w:val="ListParagraph"/>
        <w:numPr>
          <w:ilvl w:val="0"/>
          <w:numId w:val="9"/>
        </w:numPr>
        <w:jc w:val="both"/>
        <w:rPr>
          <w:rFonts w:asciiTheme="minorHAnsi" w:hAnsiTheme="minorHAnsi"/>
        </w:rPr>
      </w:pPr>
      <w:r>
        <w:rPr>
          <w:rFonts w:asciiTheme="minorHAnsi" w:hAnsiTheme="minorHAnsi"/>
        </w:rPr>
        <w:t xml:space="preserve">Once you have installed your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and positioned the light head units properly, tighten the existing sun visor mounting hardware to form a secure connection.  Please note that in some installations, you may be required to bend the provided mounting hardware to achieve a secure </w:t>
      </w:r>
      <w:r w:rsidR="007D2402">
        <w:rPr>
          <w:rFonts w:asciiTheme="minorHAnsi" w:hAnsiTheme="minorHAnsi"/>
        </w:rPr>
        <w:t xml:space="preserve">fit in your vehicle.  A secure fit to your vehicle is critical to making sure the </w:t>
      </w:r>
      <w:r w:rsidR="006C59AF">
        <w:rPr>
          <w:rFonts w:asciiTheme="minorHAnsi" w:hAnsiTheme="minorHAnsi"/>
        </w:rPr>
        <w:t>Hunter</w:t>
      </w:r>
      <w:r w:rsidR="007D2402" w:rsidRPr="00652EFF">
        <w:rPr>
          <w:rFonts w:asciiTheme="minorHAnsi" w:hAnsiTheme="minorHAnsi"/>
        </w:rPr>
        <w:t xml:space="preserve"> Series Interior Visor Light Bar</w:t>
      </w:r>
      <w:r w:rsidR="007D2402">
        <w:rPr>
          <w:rFonts w:asciiTheme="minorHAnsi" w:hAnsiTheme="minorHAnsi"/>
        </w:rPr>
        <w:t xml:space="preserve"> is firmly secured after installation.</w:t>
      </w:r>
    </w:p>
    <w:p w14:paraId="659B852C" w14:textId="3E11C741" w:rsidR="00222A5B" w:rsidRDefault="007D2402" w:rsidP="00D12B5F">
      <w:pPr>
        <w:pStyle w:val="ListParagraph"/>
        <w:numPr>
          <w:ilvl w:val="0"/>
          <w:numId w:val="9"/>
        </w:numPr>
        <w:jc w:val="both"/>
        <w:rPr>
          <w:rFonts w:asciiTheme="minorHAnsi" w:hAnsiTheme="minorHAnsi"/>
        </w:rPr>
      </w:pPr>
      <w:r>
        <w:rPr>
          <w:rFonts w:asciiTheme="minorHAnsi" w:hAnsiTheme="minorHAnsi"/>
        </w:rPr>
        <w:t>Once your</w:t>
      </w:r>
      <w:r w:rsidRPr="007D2402">
        <w:rPr>
          <w:rFonts w:asciiTheme="minorHAnsi" w:hAnsiTheme="minorHAnsi"/>
        </w:rPr>
        <w:t xml:space="preserve">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has been installed, you may connect the wiring harness between the two light head </w:t>
      </w:r>
      <w:proofErr w:type="gramStart"/>
      <w:r>
        <w:rPr>
          <w:rFonts w:asciiTheme="minorHAnsi" w:hAnsiTheme="minorHAnsi"/>
        </w:rPr>
        <w:t>units, and</w:t>
      </w:r>
      <w:proofErr w:type="gramEnd"/>
      <w:r>
        <w:rPr>
          <w:rFonts w:asciiTheme="minorHAnsi" w:hAnsiTheme="minorHAnsi"/>
        </w:rPr>
        <w:t xml:space="preserve"> run the wires to your 12v auxiliary power source </w:t>
      </w:r>
      <w:r w:rsidR="00C17715">
        <w:rPr>
          <w:rFonts w:asciiTheme="minorHAnsi" w:hAnsiTheme="minorHAnsi"/>
        </w:rPr>
        <w:t>or external controller.  Be sure that you so not install or run any wiring that would obstruct the operation or deployment of air bags or obstruct the view out of the vehicle.</w:t>
      </w:r>
      <w:r w:rsidR="00134409">
        <w:rPr>
          <w:rFonts w:asciiTheme="minorHAnsi" w:hAnsiTheme="minorHAnsi"/>
        </w:rPr>
        <w:t xml:space="preserve">  Mounting that would obstruct the operation or deployment of an air bag or other vehicle safety system could cause </w:t>
      </w:r>
      <w:r w:rsidR="00134409">
        <w:rPr>
          <w:rFonts w:asciiTheme="minorHAnsi" w:hAnsiTheme="minorHAnsi"/>
        </w:rPr>
        <w:lastRenderedPageBreak/>
        <w:t xml:space="preserve">damage or serious personal injury.  It is the responsibility of the installer and the vehicle owner to ensure that that the installation of you </w:t>
      </w:r>
      <w:r w:rsidR="006C59AF">
        <w:rPr>
          <w:rFonts w:asciiTheme="minorHAnsi" w:hAnsiTheme="minorHAnsi"/>
        </w:rPr>
        <w:t>Hunter</w:t>
      </w:r>
      <w:r w:rsidR="00134409" w:rsidRPr="00652EFF">
        <w:rPr>
          <w:rFonts w:asciiTheme="minorHAnsi" w:hAnsiTheme="minorHAnsi"/>
        </w:rPr>
        <w:t xml:space="preserve"> Series Interior Visor Light Bar</w:t>
      </w:r>
      <w:r w:rsidR="00134409">
        <w:rPr>
          <w:rFonts w:asciiTheme="minorHAnsi" w:hAnsiTheme="minorHAnsi"/>
        </w:rPr>
        <w:t xml:space="preserve"> does not interfere with existing vehicle safety systems.  Installation in </w:t>
      </w:r>
      <w:r w:rsidR="00222A5B">
        <w:rPr>
          <w:rFonts w:asciiTheme="minorHAnsi" w:hAnsiTheme="minorHAnsi"/>
        </w:rPr>
        <w:t>contradiction</w:t>
      </w:r>
      <w:r w:rsidR="00134409">
        <w:rPr>
          <w:rFonts w:asciiTheme="minorHAnsi" w:hAnsiTheme="minorHAnsi"/>
        </w:rPr>
        <w:t xml:space="preserve"> to these instructions will </w:t>
      </w:r>
      <w:r w:rsidR="00222A5B">
        <w:rPr>
          <w:rFonts w:asciiTheme="minorHAnsi" w:hAnsiTheme="minorHAnsi"/>
        </w:rPr>
        <w:t xml:space="preserve">be at the installer and the vehicle owner’s sole and exclusive liability.  </w:t>
      </w:r>
    </w:p>
    <w:p w14:paraId="7CCDD9F6" w14:textId="7C9694EE" w:rsidR="00222A5B" w:rsidRPr="00222A5B" w:rsidRDefault="00222A5B" w:rsidP="00D12B5F">
      <w:pPr>
        <w:pStyle w:val="ListParagraph"/>
        <w:numPr>
          <w:ilvl w:val="0"/>
          <w:numId w:val="9"/>
        </w:numPr>
        <w:jc w:val="both"/>
        <w:rPr>
          <w:rFonts w:asciiTheme="minorHAnsi" w:hAnsiTheme="minorHAnsi"/>
        </w:rPr>
      </w:pPr>
      <w:r>
        <w:rPr>
          <w:rFonts w:asciiTheme="minorHAnsi" w:hAnsiTheme="minorHAnsi"/>
        </w:rPr>
        <w:t xml:space="preserve">Once installed, your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may require the installation and use of the provided flashback shield to reduce or eliminate flashback during the operation of you </w:t>
      </w:r>
      <w:r w:rsidR="006C59AF">
        <w:rPr>
          <w:rFonts w:asciiTheme="minorHAnsi" w:hAnsiTheme="minorHAnsi"/>
        </w:rPr>
        <w:t>Hunter</w:t>
      </w:r>
      <w:r w:rsidRPr="00652EFF">
        <w:rPr>
          <w:rFonts w:asciiTheme="minorHAnsi" w:hAnsiTheme="minorHAnsi"/>
        </w:rPr>
        <w:t xml:space="preserve"> Series Interior Visor Light Bar</w:t>
      </w:r>
      <w:r>
        <w:rPr>
          <w:rFonts w:asciiTheme="minorHAnsi" w:hAnsiTheme="minorHAnsi"/>
        </w:rPr>
        <w:t xml:space="preserve">.  The flashback shield comes with necessary </w:t>
      </w:r>
      <w:r w:rsidR="002D5668">
        <w:rPr>
          <w:rFonts w:asciiTheme="minorHAnsi" w:hAnsiTheme="minorHAnsi"/>
        </w:rPr>
        <w:t xml:space="preserve">mounting </w:t>
      </w:r>
      <w:r>
        <w:rPr>
          <w:rFonts w:asciiTheme="minorHAnsi" w:hAnsiTheme="minorHAnsi"/>
        </w:rPr>
        <w:t>hardware to install the flashback shield</w:t>
      </w:r>
      <w:r w:rsidR="002D5668">
        <w:rPr>
          <w:rFonts w:asciiTheme="minorHAnsi" w:hAnsiTheme="minorHAnsi"/>
        </w:rPr>
        <w:t xml:space="preserve"> directly onto your </w:t>
      </w:r>
      <w:r w:rsidR="006C59AF">
        <w:rPr>
          <w:rFonts w:asciiTheme="minorHAnsi" w:hAnsiTheme="minorHAnsi"/>
        </w:rPr>
        <w:t>Hunter</w:t>
      </w:r>
      <w:r w:rsidR="002D5668" w:rsidRPr="00652EFF">
        <w:rPr>
          <w:rFonts w:asciiTheme="minorHAnsi" w:hAnsiTheme="minorHAnsi"/>
        </w:rPr>
        <w:t xml:space="preserve"> Series Interior Visor Light Bar</w:t>
      </w:r>
      <w:r w:rsidR="002D5668">
        <w:rPr>
          <w:rFonts w:asciiTheme="minorHAnsi" w:hAnsiTheme="minorHAnsi"/>
        </w:rPr>
        <w:t xml:space="preserve">.  </w:t>
      </w:r>
      <w:r w:rsidR="005D1624">
        <w:rPr>
          <w:rFonts w:asciiTheme="minorHAnsi" w:hAnsiTheme="minorHAnsi"/>
        </w:rPr>
        <w:t xml:space="preserve">Use two (2) small screws provided with your </w:t>
      </w:r>
      <w:r w:rsidR="006C59AF">
        <w:rPr>
          <w:rFonts w:asciiTheme="minorHAnsi" w:hAnsiTheme="minorHAnsi"/>
        </w:rPr>
        <w:t>Hunter</w:t>
      </w:r>
      <w:r w:rsidR="005D1624" w:rsidRPr="00652EFF">
        <w:rPr>
          <w:rFonts w:asciiTheme="minorHAnsi" w:hAnsiTheme="minorHAnsi"/>
        </w:rPr>
        <w:t xml:space="preserve"> Series Interior Visor Light Bar</w:t>
      </w:r>
      <w:r w:rsidR="005D1624">
        <w:rPr>
          <w:rFonts w:asciiTheme="minorHAnsi" w:hAnsiTheme="minorHAnsi"/>
        </w:rPr>
        <w:t xml:space="preserve"> on each side of the flashback shield to attach the flashback shield to your light bar.  Adjustments may be required to ensure a tight fit within your vehicle.  </w:t>
      </w:r>
      <w:r w:rsidR="002D5668">
        <w:rPr>
          <w:rFonts w:asciiTheme="minorHAnsi" w:hAnsiTheme="minorHAnsi"/>
        </w:rPr>
        <w:t xml:space="preserve">Flashback resulting from the installation of your </w:t>
      </w:r>
      <w:r w:rsidR="006C59AF">
        <w:rPr>
          <w:rFonts w:asciiTheme="minorHAnsi" w:hAnsiTheme="minorHAnsi"/>
        </w:rPr>
        <w:t>Hunter</w:t>
      </w:r>
      <w:r w:rsidR="002D5668" w:rsidRPr="00652EFF">
        <w:rPr>
          <w:rFonts w:asciiTheme="minorHAnsi" w:hAnsiTheme="minorHAnsi"/>
        </w:rPr>
        <w:t xml:space="preserve"> Series Interior Visor Light Bar</w:t>
      </w:r>
      <w:r w:rsidR="002D5668">
        <w:rPr>
          <w:rFonts w:asciiTheme="minorHAnsi" w:hAnsiTheme="minorHAnsi"/>
        </w:rPr>
        <w:t xml:space="preserve"> may cause serious obstruction to visibility outside of your vehicle that could lead to serious harm or injury during operation.  Please ensure that all necessary mounting precautions are taken to limit or avoid entirely all interior </w:t>
      </w:r>
      <w:r w:rsidR="006C59AF">
        <w:rPr>
          <w:rFonts w:asciiTheme="minorHAnsi" w:hAnsiTheme="minorHAnsi"/>
        </w:rPr>
        <w:t>Hunter</w:t>
      </w:r>
      <w:r w:rsidR="002D5668" w:rsidRPr="00652EFF">
        <w:rPr>
          <w:rFonts w:asciiTheme="minorHAnsi" w:hAnsiTheme="minorHAnsi"/>
        </w:rPr>
        <w:t xml:space="preserve"> Series Interior Visor Light Bar</w:t>
      </w:r>
      <w:r w:rsidR="002D5668">
        <w:rPr>
          <w:rFonts w:asciiTheme="minorHAnsi" w:hAnsiTheme="minorHAnsi"/>
        </w:rPr>
        <w:t xml:space="preserve"> flashback.  </w:t>
      </w:r>
      <w:r w:rsidR="00683CB8">
        <w:rPr>
          <w:rFonts w:asciiTheme="minorHAnsi" w:hAnsiTheme="minorHAnsi"/>
        </w:rPr>
        <w:t xml:space="preserve">Installation in contradiction to these instructions will be at the installer and the vehicle owner’s sole and exclusive liability.  </w:t>
      </w:r>
    </w:p>
    <w:p w14:paraId="775F0F72" w14:textId="55263215" w:rsidR="00246C11" w:rsidRPr="00D12B5F" w:rsidRDefault="00652EFF" w:rsidP="00D12B5F">
      <w:pPr>
        <w:jc w:val="center"/>
        <w:rPr>
          <w:rFonts w:asciiTheme="minorHAnsi" w:hAnsiTheme="minorHAnsi"/>
          <w:b/>
        </w:rPr>
        <w:sectPr w:rsidR="00246C11" w:rsidRPr="00D12B5F" w:rsidSect="007E4C81">
          <w:headerReference w:type="default" r:id="rId25"/>
          <w:footerReference w:type="default" r:id="rId26"/>
          <w:pgSz w:w="12240" w:h="15840"/>
          <w:pgMar w:top="1440" w:right="1440" w:bottom="1440" w:left="1440" w:header="720" w:footer="720" w:gutter="0"/>
          <w:pgNumType w:fmt="numberInDash" w:start="1"/>
          <w:cols w:space="720"/>
        </w:sectPr>
      </w:pPr>
      <w:r>
        <w:rPr>
          <w:rFonts w:asciiTheme="minorHAnsi" w:hAnsiTheme="minorHAnsi"/>
        </w:rPr>
        <w:br w:type="page"/>
      </w:r>
    </w:p>
    <w:p w14:paraId="247C438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57ED6CD"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F77C6E2"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524906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A9D97F6"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9190C13" w14:textId="76C40FC3"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At LEDEQUIPPED, we know that you need affordable lighting for your police, EMS, fire, construction, or towing vehicles and that safety and reliability are important to you. That’s why </w:t>
      </w:r>
      <w:r w:rsidRPr="007E4C81">
        <w:rPr>
          <w:rFonts w:asciiTheme="minorHAnsi" w:hAnsiTheme="minorHAnsi" w:cs="Arial"/>
          <w:color w:val="000000"/>
          <w:shd w:val="clear" w:color="auto" w:fill="FFFFFF"/>
        </w:rPr>
        <w:t>all of our LED products feature powerful up do date Generation LED lighting, perfect for your police, fire, construction, or EMS vehicle</w:t>
      </w:r>
      <w:r>
        <w:rPr>
          <w:rFonts w:asciiTheme="minorHAnsi" w:hAnsiTheme="minorHAnsi" w:cs="Arial"/>
          <w:color w:val="000000"/>
          <w:shd w:val="clear" w:color="auto" w:fill="FFFFFF"/>
        </w:rPr>
        <w:t>.  LEDEQUIPPED</w:t>
      </w:r>
      <w:r w:rsidRPr="007E4C81">
        <w:rPr>
          <w:rFonts w:asciiTheme="minorHAnsi" w:hAnsiTheme="minorHAnsi" w:cs="Arial"/>
          <w:color w:val="000000"/>
          <w:shd w:val="clear" w:color="auto" w:fill="FFFFFF"/>
        </w:rPr>
        <w:t xml:space="preserve"> focuses on a mission to carry out business ethically and with integrity, provide powerful products of the highest quality, maintain excellent and affordable prices</w:t>
      </w:r>
      <w:r>
        <w:rPr>
          <w:rFonts w:asciiTheme="minorHAnsi" w:hAnsiTheme="minorHAnsi" w:cs="Arial"/>
          <w:color w:val="000000"/>
          <w:shd w:val="clear" w:color="auto" w:fill="FFFFFF"/>
        </w:rPr>
        <w:t>,</w:t>
      </w:r>
      <w:r w:rsidRPr="007E4C81">
        <w:rPr>
          <w:rFonts w:asciiTheme="minorHAnsi" w:hAnsiTheme="minorHAnsi" w:cs="Arial"/>
          <w:color w:val="000000"/>
          <w:shd w:val="clear" w:color="auto" w:fill="FFFFFF"/>
        </w:rPr>
        <w:t xml:space="preserve"> and to establish a</w:t>
      </w:r>
      <w:r>
        <w:rPr>
          <w:rFonts w:asciiTheme="minorHAnsi" w:hAnsiTheme="minorHAnsi" w:cs="Arial"/>
          <w:color w:val="000000"/>
          <w:shd w:val="clear" w:color="auto" w:fill="FFFFFF"/>
        </w:rPr>
        <w:t xml:space="preserve">n unparalleled </w:t>
      </w:r>
      <w:r w:rsidRPr="007E4C81">
        <w:rPr>
          <w:rFonts w:asciiTheme="minorHAnsi" w:hAnsiTheme="minorHAnsi" w:cs="Arial"/>
          <w:color w:val="000000"/>
          <w:shd w:val="clear" w:color="auto" w:fill="FFFFFF"/>
        </w:rPr>
        <w:t xml:space="preserve">customer service relationship </w:t>
      </w:r>
      <w:r>
        <w:rPr>
          <w:rFonts w:asciiTheme="minorHAnsi" w:hAnsiTheme="minorHAnsi" w:cs="Arial"/>
          <w:color w:val="000000"/>
          <w:shd w:val="clear" w:color="auto" w:fill="FFFFFF"/>
        </w:rPr>
        <w:t xml:space="preserve">beginning with establishing </w:t>
      </w:r>
      <w:r w:rsidRPr="007E4C81">
        <w:rPr>
          <w:rFonts w:asciiTheme="minorHAnsi" w:hAnsiTheme="minorHAnsi" w:cs="Arial"/>
          <w:color w:val="000000"/>
          <w:shd w:val="clear" w:color="auto" w:fill="FFFFFF"/>
        </w:rPr>
        <w:t xml:space="preserve">trust with our </w:t>
      </w:r>
      <w:proofErr w:type="spellStart"/>
      <w:r w:rsidRPr="007E4C81">
        <w:rPr>
          <w:rFonts w:asciiTheme="minorHAnsi" w:hAnsiTheme="minorHAnsi" w:cs="Arial"/>
          <w:color w:val="000000"/>
          <w:shd w:val="clear" w:color="auto" w:fill="FFFFFF"/>
        </w:rPr>
        <w:t>costumers</w:t>
      </w:r>
      <w:proofErr w:type="spellEnd"/>
      <w:r w:rsidRPr="007E4C81">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7E4C81">
        <w:rPr>
          <w:rFonts w:asciiTheme="minorHAnsi" w:hAnsiTheme="minorHAnsi" w:cs="Arial"/>
          <w:color w:val="000000"/>
          <w:shd w:val="clear" w:color="auto" w:fill="FFFFFF"/>
        </w:rPr>
        <w:t>As a provider of emergency vehicle lighting, we value the honesty, professionalism, and expertise present within our customer base</w:t>
      </w:r>
    </w:p>
    <w:p w14:paraId="40F0FDA8" w14:textId="616632E5"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For any questions regarding our products, contact us by calling us at +1 800-846-3940 or </w:t>
      </w:r>
      <w:r>
        <w:rPr>
          <w:rFonts w:asciiTheme="minorHAnsi" w:hAnsiTheme="minorHAnsi" w:cs="Arial"/>
        </w:rPr>
        <w:t xml:space="preserve">email us at </w:t>
      </w:r>
      <w:r w:rsidRPr="007E4C81">
        <w:rPr>
          <w:rFonts w:asciiTheme="minorHAnsi" w:hAnsiTheme="minorHAnsi" w:cs="Arial"/>
        </w:rPr>
        <w:t>sales@ledequipped.com</w:t>
      </w:r>
      <w:r>
        <w:rPr>
          <w:rFonts w:asciiTheme="minorHAnsi" w:hAnsiTheme="minorHAnsi" w:cs="Arial"/>
        </w:rPr>
        <w:t>.</w:t>
      </w:r>
    </w:p>
    <w:p w14:paraId="1EE0AA31" w14:textId="6ADB9666" w:rsidR="00F9667E" w:rsidRDefault="00F9667E" w:rsidP="00F9667E">
      <w:pPr>
        <w:tabs>
          <w:tab w:val="left" w:pos="990"/>
          <w:tab w:val="left" w:pos="1080"/>
        </w:tabs>
        <w:spacing w:before="120" w:after="120"/>
        <w:jc w:val="both"/>
        <w:rPr>
          <w:rFonts w:asciiTheme="minorHAnsi" w:hAnsiTheme="minorHAnsi"/>
          <w:sz w:val="24"/>
          <w:szCs w:val="24"/>
        </w:rPr>
      </w:pPr>
    </w:p>
    <w:p w14:paraId="0525C5B0" w14:textId="151DA384" w:rsidR="007E4C81" w:rsidRDefault="007E4C81" w:rsidP="00F9667E">
      <w:pPr>
        <w:tabs>
          <w:tab w:val="left" w:pos="990"/>
          <w:tab w:val="left" w:pos="1080"/>
        </w:tabs>
        <w:spacing w:before="120" w:after="120"/>
        <w:jc w:val="both"/>
        <w:rPr>
          <w:rFonts w:asciiTheme="minorHAnsi" w:hAnsiTheme="minorHAnsi"/>
          <w:sz w:val="24"/>
          <w:szCs w:val="24"/>
        </w:rPr>
      </w:pPr>
    </w:p>
    <w:p w14:paraId="2D16C9BC" w14:textId="5E45EF69" w:rsidR="007E4C81" w:rsidRDefault="007E4C81" w:rsidP="00F9667E">
      <w:pPr>
        <w:tabs>
          <w:tab w:val="left" w:pos="990"/>
          <w:tab w:val="left" w:pos="1080"/>
        </w:tabs>
        <w:spacing w:before="120" w:after="120"/>
        <w:jc w:val="both"/>
        <w:rPr>
          <w:rFonts w:asciiTheme="minorHAnsi" w:hAnsiTheme="minorHAnsi"/>
          <w:sz w:val="24"/>
          <w:szCs w:val="24"/>
        </w:rPr>
      </w:pPr>
    </w:p>
    <w:p w14:paraId="3BFE7F3D" w14:textId="2D6416CF" w:rsidR="007E4C81" w:rsidRDefault="007E4C81" w:rsidP="00F9667E">
      <w:pPr>
        <w:tabs>
          <w:tab w:val="left" w:pos="990"/>
          <w:tab w:val="left" w:pos="1080"/>
        </w:tabs>
        <w:spacing w:before="120" w:after="120"/>
        <w:jc w:val="both"/>
        <w:rPr>
          <w:rFonts w:asciiTheme="minorHAnsi" w:hAnsiTheme="minorHAnsi"/>
          <w:sz w:val="24"/>
          <w:szCs w:val="24"/>
        </w:rPr>
      </w:pPr>
    </w:p>
    <w:p w14:paraId="73CBE042" w14:textId="6F6734BE" w:rsidR="007E4C81" w:rsidRDefault="007E4C81" w:rsidP="00F9667E">
      <w:pPr>
        <w:tabs>
          <w:tab w:val="left" w:pos="990"/>
          <w:tab w:val="left" w:pos="1080"/>
        </w:tabs>
        <w:spacing w:before="120" w:after="120"/>
        <w:jc w:val="both"/>
        <w:rPr>
          <w:rFonts w:asciiTheme="minorHAnsi" w:hAnsiTheme="minorHAnsi"/>
          <w:sz w:val="24"/>
          <w:szCs w:val="24"/>
        </w:rPr>
      </w:pPr>
    </w:p>
    <w:p w14:paraId="655F4519" w14:textId="12EAB577" w:rsidR="007E4C81" w:rsidRDefault="007E4C81" w:rsidP="00F9667E">
      <w:pPr>
        <w:tabs>
          <w:tab w:val="left" w:pos="990"/>
          <w:tab w:val="left" w:pos="1080"/>
        </w:tabs>
        <w:spacing w:before="120" w:after="120"/>
        <w:jc w:val="both"/>
        <w:rPr>
          <w:rFonts w:asciiTheme="minorHAnsi" w:hAnsiTheme="minorHAnsi"/>
          <w:sz w:val="24"/>
          <w:szCs w:val="24"/>
        </w:rPr>
      </w:pPr>
    </w:p>
    <w:p w14:paraId="5140407D" w14:textId="77777777" w:rsidR="007E4C81" w:rsidRDefault="007E4C81" w:rsidP="00F9667E">
      <w:pPr>
        <w:tabs>
          <w:tab w:val="left" w:pos="990"/>
          <w:tab w:val="left" w:pos="1080"/>
        </w:tabs>
        <w:spacing w:before="120" w:after="120"/>
        <w:jc w:val="both"/>
        <w:rPr>
          <w:rFonts w:asciiTheme="minorHAnsi" w:hAnsiTheme="minorHAnsi"/>
          <w:sz w:val="24"/>
          <w:szCs w:val="24"/>
        </w:rPr>
      </w:pPr>
    </w:p>
    <w:p w14:paraId="35A01235" w14:textId="3C429C34" w:rsidR="007E4C81" w:rsidRPr="007E4C81" w:rsidRDefault="007E4C81" w:rsidP="007E4C81">
      <w:pPr>
        <w:tabs>
          <w:tab w:val="left" w:pos="990"/>
          <w:tab w:val="left" w:pos="1080"/>
        </w:tabs>
        <w:spacing w:before="120" w:after="120"/>
        <w:jc w:val="center"/>
        <w:rPr>
          <w:rFonts w:asciiTheme="minorHAnsi" w:hAnsiTheme="minorHAnsi"/>
          <w:sz w:val="24"/>
          <w:szCs w:val="24"/>
        </w:rPr>
      </w:pPr>
      <w:r>
        <w:rPr>
          <w:rFonts w:asciiTheme="minorHAnsi" w:hAnsiTheme="minorHAnsi"/>
          <w:noProof/>
          <w:sz w:val="24"/>
          <w:szCs w:val="24"/>
        </w:rPr>
        <w:drawing>
          <wp:inline distT="0" distB="0" distL="0" distR="0" wp14:anchorId="626F4EEE" wp14:editId="59C01152">
            <wp:extent cx="5067300" cy="77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sectPr w:rsidR="007E4C81" w:rsidRPr="007E4C81" w:rsidSect="00F9667E">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789C" w14:textId="77777777" w:rsidR="004A4FD5" w:rsidRDefault="004A4FD5" w:rsidP="00F9667E">
      <w:r>
        <w:separator/>
      </w:r>
    </w:p>
  </w:endnote>
  <w:endnote w:type="continuationSeparator" w:id="0">
    <w:p w14:paraId="349AADB0" w14:textId="77777777" w:rsidR="004A4FD5" w:rsidRDefault="004A4FD5"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Cambria"/>
    <w:panose1 w:val="020B0604020202020204"/>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5645434"/>
      <w:docPartObj>
        <w:docPartGallery w:val="Page Numbers (Bottom of Page)"/>
        <w:docPartUnique/>
      </w:docPartObj>
    </w:sdtPr>
    <w:sdtEndPr>
      <w:rPr>
        <w:rStyle w:val="PageNumber"/>
      </w:rPr>
    </w:sdtEndPr>
    <w:sdtContent>
      <w:p w14:paraId="63EAFED5" w14:textId="139849C4" w:rsidR="00F9667E" w:rsidRDefault="00F9667E"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314C4" w14:textId="77777777" w:rsidR="00F9667E" w:rsidRDefault="00F9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611637"/>
      <w:docPartObj>
        <w:docPartGallery w:val="Page Numbers (Bottom of Page)"/>
        <w:docPartUnique/>
      </w:docPartObj>
    </w:sdtPr>
    <w:sdtEndPr>
      <w:rPr>
        <w:rStyle w:val="PageNumber"/>
      </w:rPr>
    </w:sdtEndPr>
    <w:sdtContent>
      <w:p w14:paraId="4DF93085" w14:textId="335A9544" w:rsidR="00F9667E" w:rsidRDefault="004A4FD5" w:rsidP="00773A3B">
        <w:pPr>
          <w:pStyle w:val="Footer"/>
          <w:framePr w:wrap="none" w:vAnchor="text" w:hAnchor="margin" w:xAlign="center" w:y="1"/>
          <w:rPr>
            <w:rStyle w:val="PageNumber"/>
          </w:rPr>
        </w:pPr>
      </w:p>
    </w:sdtContent>
  </w:sdt>
  <w:p w14:paraId="4AEEC8C2" w14:textId="77777777" w:rsidR="00F9667E" w:rsidRDefault="00F96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175979"/>
      <w:docPartObj>
        <w:docPartGallery w:val="Page Numbers (Bottom of Page)"/>
        <w:docPartUnique/>
      </w:docPartObj>
    </w:sdtPr>
    <w:sdtEndPr>
      <w:rPr>
        <w:rStyle w:val="PageNumber"/>
      </w:rPr>
    </w:sdtEndPr>
    <w:sdtContent>
      <w:p w14:paraId="1BDB22AC" w14:textId="77777777" w:rsidR="007E4C81" w:rsidRDefault="007E4C81"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0CDD469" w14:textId="77777777" w:rsidR="007E4C81" w:rsidRDefault="007E4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1CA9" w14:textId="26918CAB" w:rsidR="007E4C81" w:rsidRDefault="007E4C81" w:rsidP="00773A3B">
    <w:pPr>
      <w:pStyle w:val="Footer"/>
      <w:framePr w:wrap="none" w:vAnchor="text" w:hAnchor="margin" w:xAlign="center" w:y="1"/>
      <w:rPr>
        <w:rStyle w:val="PageNumber"/>
      </w:rPr>
    </w:pPr>
  </w:p>
  <w:p w14:paraId="5EA12B00" w14:textId="2333DBCC" w:rsidR="007E4C81" w:rsidRDefault="007E4C81" w:rsidP="007E4C81">
    <w:pPr>
      <w:pStyle w:val="Footer"/>
      <w:jc w:val="center"/>
    </w:pPr>
    <w:r>
      <w:t>© 2019 LEDEQUIPPED.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B1ECB" w14:textId="77777777" w:rsidR="004A4FD5" w:rsidRDefault="004A4FD5" w:rsidP="00F9667E">
      <w:r>
        <w:separator/>
      </w:r>
    </w:p>
  </w:footnote>
  <w:footnote w:type="continuationSeparator" w:id="0">
    <w:p w14:paraId="0D7B34CB" w14:textId="77777777" w:rsidR="004A4FD5" w:rsidRDefault="004A4FD5"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E6FD" w14:textId="77777777" w:rsidR="00F9667E" w:rsidRDefault="00F9667E"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DE03" w14:textId="77777777" w:rsidR="007E4C81" w:rsidRDefault="007E4C81" w:rsidP="00F9667E">
    <w:pPr>
      <w:pStyle w:val="Header"/>
      <w:jc w:val="center"/>
    </w:pPr>
    <w:r>
      <w:rPr>
        <w:noProof/>
      </w:rPr>
      <w:drawing>
        <wp:inline distT="0" distB="0" distL="0" distR="0" wp14:anchorId="1BDAA521" wp14:editId="2DFD90FF">
          <wp:extent cx="2325974"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D Equipped Logo.png"/>
                  <pic:cNvPicPr/>
                </pic:nvPicPr>
                <pic:blipFill>
                  <a:blip r:embed="rId1">
                    <a:extLst>
                      <a:ext uri="{28A0092B-C50C-407E-A947-70E740481C1C}">
                        <a14:useLocalDpi xmlns:a14="http://schemas.microsoft.com/office/drawing/2010/main" val="0"/>
                      </a:ext>
                    </a:extLst>
                  </a:blip>
                  <a:stretch>
                    <a:fillRect/>
                  </a:stretch>
                </pic:blipFill>
                <pic:spPr>
                  <a:xfrm>
                    <a:off x="0" y="0"/>
                    <a:ext cx="2333330" cy="356725"/>
                  </a:xfrm>
                  <a:prstGeom prst="rect">
                    <a:avLst/>
                  </a:prstGeom>
                </pic:spPr>
              </pic:pic>
            </a:graphicData>
          </a:graphic>
        </wp:inline>
      </w:drawing>
    </w:r>
  </w:p>
  <w:p w14:paraId="3D9FC61F" w14:textId="77777777" w:rsidR="007E4C81" w:rsidRDefault="007E4C81" w:rsidP="00F9667E">
    <w:pPr>
      <w:pStyle w:val="Header"/>
      <w:jc w:val="center"/>
    </w:pPr>
  </w:p>
  <w:p w14:paraId="35807378" w14:textId="77777777" w:rsidR="007E4C81" w:rsidRDefault="007E4C81"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2E00" w14:textId="43359623" w:rsidR="007E4C81" w:rsidRDefault="007E4C81" w:rsidP="00F9667E">
    <w:pPr>
      <w:pStyle w:val="Header"/>
      <w:jc w:val="center"/>
    </w:pPr>
  </w:p>
  <w:p w14:paraId="1F0C7085" w14:textId="77777777" w:rsidR="007E4C81" w:rsidRDefault="007E4C81" w:rsidP="00F9667E">
    <w:pPr>
      <w:pStyle w:val="Header"/>
      <w:jc w:val="center"/>
    </w:pPr>
  </w:p>
  <w:p w14:paraId="3B4572D6" w14:textId="77777777" w:rsidR="007E4C81" w:rsidRDefault="007E4C81"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5"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6"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7" w15:restartNumberingAfterBreak="0">
    <w:nsid w:val="726902CA"/>
    <w:multiLevelType w:val="hybridMultilevel"/>
    <w:tmpl w:val="06DA4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8"/>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A"/>
    <w:rsid w:val="00010391"/>
    <w:rsid w:val="000117B4"/>
    <w:rsid w:val="00026652"/>
    <w:rsid w:val="00073A80"/>
    <w:rsid w:val="00087092"/>
    <w:rsid w:val="000D5E20"/>
    <w:rsid w:val="00134409"/>
    <w:rsid w:val="001476A9"/>
    <w:rsid w:val="00171039"/>
    <w:rsid w:val="00222A5B"/>
    <w:rsid w:val="002308EC"/>
    <w:rsid w:val="00246C11"/>
    <w:rsid w:val="002C1F72"/>
    <w:rsid w:val="002C42EA"/>
    <w:rsid w:val="002D5668"/>
    <w:rsid w:val="00331086"/>
    <w:rsid w:val="004A4FD5"/>
    <w:rsid w:val="004D5720"/>
    <w:rsid w:val="00541D42"/>
    <w:rsid w:val="005463D6"/>
    <w:rsid w:val="005637D6"/>
    <w:rsid w:val="005A131D"/>
    <w:rsid w:val="005D1624"/>
    <w:rsid w:val="00652EFF"/>
    <w:rsid w:val="00655136"/>
    <w:rsid w:val="006664A4"/>
    <w:rsid w:val="006775F9"/>
    <w:rsid w:val="00683CB8"/>
    <w:rsid w:val="00693474"/>
    <w:rsid w:val="006C59AF"/>
    <w:rsid w:val="00765186"/>
    <w:rsid w:val="007829A3"/>
    <w:rsid w:val="007D1BA3"/>
    <w:rsid w:val="007D2402"/>
    <w:rsid w:val="007E4C81"/>
    <w:rsid w:val="0081213D"/>
    <w:rsid w:val="00825C6E"/>
    <w:rsid w:val="008C2969"/>
    <w:rsid w:val="009A5483"/>
    <w:rsid w:val="009F38BA"/>
    <w:rsid w:val="00A87CA3"/>
    <w:rsid w:val="00B61071"/>
    <w:rsid w:val="00B81B76"/>
    <w:rsid w:val="00BC17C1"/>
    <w:rsid w:val="00BD358F"/>
    <w:rsid w:val="00C122B3"/>
    <w:rsid w:val="00C17715"/>
    <w:rsid w:val="00C35581"/>
    <w:rsid w:val="00C50DD2"/>
    <w:rsid w:val="00CB3023"/>
    <w:rsid w:val="00CF0B04"/>
    <w:rsid w:val="00D12B5F"/>
    <w:rsid w:val="00D37111"/>
    <w:rsid w:val="00D4561D"/>
    <w:rsid w:val="00D509B8"/>
    <w:rsid w:val="00D72EAA"/>
    <w:rsid w:val="00D7354C"/>
    <w:rsid w:val="00DF0F88"/>
    <w:rsid w:val="00DF5CC4"/>
    <w:rsid w:val="00E06AD8"/>
    <w:rsid w:val="00E50B54"/>
    <w:rsid w:val="00E51BC7"/>
    <w:rsid w:val="00E70C7B"/>
    <w:rsid w:val="00E82780"/>
    <w:rsid w:val="00EA5E38"/>
    <w:rsid w:val="00EB2A70"/>
    <w:rsid w:val="00F67358"/>
    <w:rsid w:val="00F8772C"/>
    <w:rsid w:val="00F9667E"/>
    <w:rsid w:val="00FA5625"/>
    <w:rsid w:val="00FC3604"/>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D2B7"/>
  <w15:docId w15:val="{42FDA897-81F9-3C46-AE18-CF96A11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34"/>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C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C355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581"/>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tif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tiff"/><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tif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12.tiff"/><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CA4CF2A-C92E-834F-90F5-611AB6D3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Goltche</dc:creator>
  <cp:lastModifiedBy>Matthew Moreau</cp:lastModifiedBy>
  <cp:revision>5</cp:revision>
  <dcterms:created xsi:type="dcterms:W3CDTF">2019-04-15T19:16:00Z</dcterms:created>
  <dcterms:modified xsi:type="dcterms:W3CDTF">2019-04-15T19:45:00Z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ies>
</file>